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5000000">
      <w:pPr>
        <w:ind w:firstLine="0" w:left="0"/>
        <w:jc w:val="center"/>
        <w:rPr>
          <w:rFonts w:ascii="Times New Roman" w:hAnsi="Times New Roman"/>
        </w:rPr>
      </w:pPr>
      <w:bookmarkStart w:id="1" w:name="_GoBack"/>
      <w:bookmarkEnd w:id="1"/>
      <w:r>
        <w:rPr>
          <w:rFonts w:ascii="Times New Roman" w:hAnsi="Times New Roman"/>
        </w:rPr>
        <w:drawing>
          <wp:inline>
            <wp:extent cx="651510" cy="1075113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3"/>
                    <a:srcRect b="0" l="0" r="0" t="0"/>
                    <a:stretch/>
                  </pic:blipFill>
                  <pic:spPr>
                    <a:xfrm flipH="false" flipV="false" rot="0">
                      <a:ext cx="651510" cy="1075113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6000000">
      <w:pPr>
        <w:ind w:firstLine="0" w:left="0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КЕМЕРОВСКАЯ ОБЛАСТЬ - КУЗБАСС</w:t>
      </w:r>
    </w:p>
    <w:p w14:paraId="07000000">
      <w:pPr>
        <w:ind w:firstLine="0" w:left="0"/>
        <w:jc w:val="center"/>
        <w:rPr>
          <w:rFonts w:ascii="Times New Roman" w:hAnsi="Times New Roman"/>
          <w:caps w:val="1"/>
          <w:sz w:val="32"/>
        </w:rPr>
      </w:pPr>
      <w:r>
        <w:rPr>
          <w:rFonts w:ascii="Times New Roman" w:hAnsi="Times New Roman"/>
          <w:sz w:val="32"/>
        </w:rPr>
        <w:t>НОВОКУЗНЕЦКИЙ ГОРОДСКОЙ ОКРУГ</w:t>
      </w:r>
    </w:p>
    <w:p w14:paraId="08000000">
      <w:pPr>
        <w:spacing w:line="300" w:lineRule="atLeast"/>
        <w:ind w:firstLine="0" w:left="0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АДМИНИСТРАЦИЯ ГОРОДА НОВОКУЗНЕЦКА</w:t>
      </w:r>
    </w:p>
    <w:p w14:paraId="09000000">
      <w:pPr>
        <w:ind w:firstLine="0" w:left="0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ПОСТАНОВЛЕНИЕ</w:t>
      </w:r>
    </w:p>
    <w:p w14:paraId="0A000000">
      <w:pPr>
        <w:ind w:firstLine="0"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32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2857</wp:posOffset>
                </wp:positionH>
                <wp:positionV relativeFrom="page">
                  <wp:posOffset>2762228</wp:posOffset>
                </wp:positionV>
                <wp:extent cx="6118852" cy="9516"/>
                <wp:wrapNone/>
                <wp:docPr hidden="false" id="3" name="Picture 3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6118852" cy="9516"/>
                        </a:xfrm>
                        <a:prstGeom prst="line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prstDash val="solid"/>
                          <a:headEnd len="med" type="none" w="med"/>
                          <a:tailEnd len="med" type="none" w="med"/>
                        </a:ln>
                      </wps:spPr>
                      <wps:txbx>
                        <w:txbxContent>
                          <w:p w14:paraId="0B000000">
                            <w:pPr>
                              <w:pStyle w:val="Style_2"/>
                              <w:rPr>
                                <w:rFonts w:asciiTheme="minorAscii" w:hAnsiTheme="minorHAnsi"/>
                                <w:color w:val="000000"/>
                                <w:spacing w:val="0"/>
                                <w:sz w:val="22"/>
                              </w:rPr>
                            </w:pPr>
                          </w:p>
                        </w:txbxContent>
                      </wps:txbx>
                      <wps:bodyPr bIns="45720" lIns="91440" rIns="91440" tIns="45720"/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0C000000">
      <w:pPr>
        <w:ind w:firstLine="0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</w:t>
      </w:r>
      <w:r>
        <w:rPr>
          <w:rFonts w:ascii="Times New Roman" w:hAnsi="Times New Roman"/>
          <w:sz w:val="28"/>
        </w:rPr>
        <w:t>17.12.2025</w:t>
      </w:r>
      <w:r>
        <w:rPr>
          <w:rFonts w:ascii="Times New Roman" w:hAnsi="Times New Roman"/>
          <w:sz w:val="28"/>
        </w:rPr>
        <w:t xml:space="preserve"> №</w:t>
      </w:r>
      <w:r>
        <w:rPr>
          <w:rFonts w:ascii="Times New Roman" w:hAnsi="Times New Roman"/>
          <w:sz w:val="28"/>
        </w:rPr>
        <w:t>288</w:t>
      </w:r>
    </w:p>
    <w:p w14:paraId="0D000000">
      <w:pPr>
        <w:ind w:firstLine="0" w:left="0"/>
        <w:rPr>
          <w:rFonts w:ascii="Times New Roman" w:hAnsi="Times New Roman"/>
          <w:sz w:val="28"/>
        </w:rPr>
      </w:pPr>
    </w:p>
    <w:p w14:paraId="0E000000">
      <w:pPr>
        <w:ind w:firstLine="0" w:left="0"/>
        <w:rPr>
          <w:rFonts w:ascii="Times New Roman" w:hAnsi="Times New Roman"/>
          <w:sz w:val="28"/>
        </w:rPr>
      </w:pPr>
    </w:p>
    <w:p w14:paraId="0F000000">
      <w:pPr>
        <w:pStyle w:val="Style_3"/>
        <w:spacing w:after="0" w:before="0"/>
        <w:ind/>
        <w:rPr>
          <w:sz w:val="28"/>
        </w:rPr>
      </w:pPr>
      <w:r>
        <w:rPr>
          <w:sz w:val="28"/>
        </w:rPr>
        <w:t>О внесении изменения</w:t>
      </w:r>
      <w:r>
        <w:rPr>
          <w:sz w:val="28"/>
        </w:rPr>
        <w:t xml:space="preserve"> в постановление</w:t>
      </w:r>
      <w:r>
        <w:rPr>
          <w:sz w:val="28"/>
        </w:rPr>
        <w:br/>
      </w:r>
      <w:r>
        <w:rPr>
          <w:sz w:val="28"/>
        </w:rPr>
        <w:t>администрации города Новокузнецка</w:t>
      </w:r>
      <w:r>
        <w:rPr>
          <w:sz w:val="28"/>
        </w:rPr>
        <w:br/>
      </w:r>
      <w:r>
        <w:rPr>
          <w:sz w:val="28"/>
        </w:rPr>
        <w:t xml:space="preserve">от </w:t>
      </w:r>
      <w:r>
        <w:rPr>
          <w:sz w:val="28"/>
        </w:rPr>
        <w:t>20.12.2024 №250 «Об утверждении</w:t>
      </w:r>
    </w:p>
    <w:p w14:paraId="10000000">
      <w:pPr>
        <w:pStyle w:val="Style_3"/>
        <w:spacing w:after="0" w:before="0"/>
        <w:ind/>
        <w:rPr>
          <w:sz w:val="28"/>
        </w:rPr>
      </w:pPr>
      <w:r>
        <w:rPr>
          <w:sz w:val="28"/>
        </w:rPr>
        <w:t>программы профилактики рисков</w:t>
      </w:r>
    </w:p>
    <w:p w14:paraId="11000000">
      <w:pPr>
        <w:pStyle w:val="Style_3"/>
        <w:spacing w:after="0" w:before="0"/>
        <w:ind/>
        <w:rPr>
          <w:sz w:val="28"/>
        </w:rPr>
      </w:pPr>
      <w:r>
        <w:rPr>
          <w:sz w:val="28"/>
        </w:rPr>
        <w:t xml:space="preserve">причинения вреда (ущерба) </w:t>
      </w:r>
    </w:p>
    <w:p w14:paraId="12000000">
      <w:pPr>
        <w:pStyle w:val="Style_3"/>
        <w:spacing w:after="0" w:before="0"/>
        <w:ind/>
        <w:rPr>
          <w:sz w:val="28"/>
        </w:rPr>
      </w:pPr>
      <w:r>
        <w:rPr>
          <w:sz w:val="28"/>
        </w:rPr>
        <w:t>охраняемым законом ценностям при</w:t>
      </w:r>
    </w:p>
    <w:p w14:paraId="13000000">
      <w:pPr>
        <w:pStyle w:val="Style_3"/>
        <w:spacing w:after="0" w:before="0"/>
        <w:ind/>
        <w:rPr>
          <w:sz w:val="28"/>
        </w:rPr>
      </w:pPr>
      <w:r>
        <w:rPr>
          <w:sz w:val="28"/>
        </w:rPr>
        <w:t>осуществлении муниципального контроля</w:t>
      </w:r>
    </w:p>
    <w:p w14:paraId="14000000">
      <w:pPr>
        <w:pStyle w:val="Style_3"/>
        <w:spacing w:after="0" w:before="0"/>
        <w:ind/>
        <w:rPr>
          <w:sz w:val="28"/>
        </w:rPr>
      </w:pPr>
      <w:r>
        <w:rPr>
          <w:sz w:val="28"/>
        </w:rPr>
        <w:t xml:space="preserve">в сфере благоустройства на территории </w:t>
      </w:r>
    </w:p>
    <w:p w14:paraId="15000000">
      <w:pPr>
        <w:pStyle w:val="Style_3"/>
        <w:spacing w:after="0" w:before="0"/>
        <w:ind/>
        <w:rPr>
          <w:sz w:val="28"/>
        </w:rPr>
      </w:pPr>
      <w:r>
        <w:rPr>
          <w:sz w:val="28"/>
        </w:rPr>
        <w:t>Новокузнецкого городского округа на 2025 год</w:t>
      </w:r>
      <w:r>
        <w:rPr>
          <w:sz w:val="28"/>
        </w:rPr>
        <w:t>»</w:t>
      </w:r>
    </w:p>
    <w:p w14:paraId="16000000">
      <w:pPr>
        <w:pStyle w:val="Style_4"/>
        <w:ind/>
        <w:jc w:val="both"/>
        <w:rPr>
          <w:color w:val="000000"/>
          <w:sz w:val="28"/>
        </w:rPr>
      </w:pPr>
    </w:p>
    <w:p w14:paraId="17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 </w:t>
      </w:r>
      <w:r>
        <w:rPr>
          <w:rFonts w:ascii="Times New Roman" w:hAnsi="Times New Roman"/>
          <w:sz w:val="28"/>
        </w:rPr>
        <w:t>частью</w:t>
      </w:r>
      <w:r>
        <w:rPr>
          <w:rFonts w:ascii="Times New Roman" w:hAnsi="Times New Roman"/>
          <w:sz w:val="28"/>
        </w:rPr>
        <w:t xml:space="preserve"> 2 статьи 44 Федерального закона от 31.07.2020 №248-ФЗ «О государственном контроле (надзоре) и муниципальном контроле в Российской Федерации», постановлением Правительства Российской Федерации от 25.06.2021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Положением о муниципальном контроле в сфере благоустройства на территории Новокузнецкого городского округа, утвержденным решением Новокузнецкого городского Совета народных депутатов от 22.02.2022 №1/12 «О муниципальном контроле в сфере благоустройства на территории Новокузнецкого городского округа», Правилами благоустройства территории Новокузнецкого городского округа, утвержденными решением Новокузнецкого городского Совета народных депутатов от 24.12.2013 №16/198 «Об утверждении Правил благоустройства территории Новокузнецкого городского округа», руководствуясь </w:t>
      </w:r>
      <w:r>
        <w:rPr>
          <w:rFonts w:ascii="Times New Roman" w:hAnsi="Times New Roman"/>
          <w:sz w:val="28"/>
        </w:rPr>
        <w:t>статьями 6, 8.1, 40 Устава Новокузнецкого городского округа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статьей 40 Устава Новокузнецкого городского округа: </w:t>
      </w:r>
    </w:p>
    <w:p w14:paraId="18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 Внести </w:t>
      </w:r>
      <w:r>
        <w:rPr>
          <w:rFonts w:ascii="Times New Roman" w:hAnsi="Times New Roman"/>
          <w:sz w:val="28"/>
        </w:rPr>
        <w:t xml:space="preserve">изменение </w:t>
      </w:r>
      <w:r>
        <w:rPr>
          <w:rFonts w:ascii="Times New Roman" w:hAnsi="Times New Roman"/>
          <w:sz w:val="28"/>
        </w:rPr>
        <w:t xml:space="preserve">в постановление администрации города Новокузнецка от 20.12.2024 №250 «Об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Новокузнецкого городского округа на 2025 год», изложив </w:t>
      </w:r>
      <w:r>
        <w:rPr>
          <w:rFonts w:ascii="Times New Roman" w:hAnsi="Times New Roman"/>
          <w:sz w:val="28"/>
        </w:rPr>
        <w:t xml:space="preserve">приложение «Программа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Новокузнецкого городского округа на 2025 год» (далее - Программа профилактики) </w:t>
      </w:r>
      <w:r>
        <w:rPr>
          <w:rFonts w:ascii="Times New Roman" w:hAnsi="Times New Roman"/>
          <w:sz w:val="28"/>
          <w:highlight w:val="white"/>
        </w:rPr>
        <w:t>в новой редакции</w:t>
      </w:r>
      <w:r>
        <w:rPr>
          <w:rFonts w:ascii="Times New Roman" w:hAnsi="Times New Roman"/>
          <w:sz w:val="28"/>
          <w:highlight w:val="white"/>
        </w:rPr>
        <w:t>, согласно приложению к настоящему постановлению</w:t>
      </w:r>
      <w:r>
        <w:rPr>
          <w:rFonts w:ascii="Times New Roman" w:hAnsi="Times New Roman"/>
          <w:sz w:val="28"/>
          <w:highlight w:val="white"/>
        </w:rPr>
        <w:t>.</w:t>
      </w:r>
    </w:p>
    <w:p w14:paraId="19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 Возложить ответственность за выполнение профилактических мероприятий, предусмотренных Программой профилактики, на </w:t>
      </w:r>
      <w:r>
        <w:rPr>
          <w:rFonts w:ascii="Times New Roman" w:hAnsi="Times New Roman"/>
          <w:sz w:val="28"/>
          <w:highlight w:val="white"/>
        </w:rPr>
        <w:t>заместител</w:t>
      </w:r>
      <w:r>
        <w:rPr>
          <w:rFonts w:ascii="Times New Roman" w:hAnsi="Times New Roman"/>
          <w:sz w:val="28"/>
          <w:highlight w:val="white"/>
        </w:rPr>
        <w:t xml:space="preserve">ей Главы города – руководителей </w:t>
      </w:r>
      <w:r>
        <w:rPr>
          <w:rFonts w:ascii="Times New Roman" w:hAnsi="Times New Roman"/>
          <w:sz w:val="28"/>
          <w:highlight w:val="white"/>
        </w:rPr>
        <w:t>администраций</w:t>
      </w:r>
      <w:r>
        <w:rPr>
          <w:rFonts w:ascii="Times New Roman" w:hAnsi="Times New Roman"/>
          <w:sz w:val="28"/>
          <w:highlight w:val="white"/>
        </w:rPr>
        <w:t xml:space="preserve"> районов</w:t>
      </w:r>
      <w:r>
        <w:rPr>
          <w:rFonts w:ascii="Times New Roman" w:hAnsi="Times New Roman"/>
          <w:sz w:val="28"/>
          <w:highlight w:val="white"/>
        </w:rPr>
        <w:t xml:space="preserve"> </w:t>
      </w:r>
      <w:r>
        <w:rPr>
          <w:rFonts w:ascii="Times New Roman" w:hAnsi="Times New Roman"/>
          <w:sz w:val="28"/>
        </w:rPr>
        <w:t>города Новокузнецка</w:t>
      </w:r>
      <w:r>
        <w:rPr>
          <w:rFonts w:ascii="Times New Roman" w:hAnsi="Times New Roman"/>
          <w:sz w:val="28"/>
        </w:rPr>
        <w:t>, участвующих в реализации</w:t>
      </w:r>
      <w:r>
        <w:rPr>
          <w:rFonts w:ascii="Times New Roman" w:hAnsi="Times New Roman"/>
          <w:sz w:val="28"/>
        </w:rPr>
        <w:t xml:space="preserve"> указанных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мероприятий </w:t>
      </w:r>
      <w:r>
        <w:rPr>
          <w:rFonts w:ascii="Times New Roman" w:hAnsi="Times New Roman"/>
          <w:sz w:val="28"/>
        </w:rPr>
        <w:t>в соответствии с установленной компетенцией.</w:t>
      </w:r>
      <w:r>
        <w:rPr>
          <w:rFonts w:ascii="Times New Roman" w:hAnsi="Times New Roman"/>
          <w:sz w:val="28"/>
        </w:rPr>
        <w:t xml:space="preserve"> </w:t>
      </w:r>
    </w:p>
    <w:p w14:paraId="1A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Управлению информационной политики и социальных коммуникаций администрации города Новокузнецка обеспечить официальное опубликование настоящего постановления</w:t>
      </w:r>
      <w:r>
        <w:rPr>
          <w:rFonts w:ascii="Times New Roman" w:hAnsi="Times New Roman"/>
          <w:sz w:val="28"/>
        </w:rPr>
        <w:t>.</w:t>
      </w:r>
    </w:p>
    <w:p w14:paraId="1B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 xml:space="preserve">Главному специалисту аппарата администрации города Новокузнецка обеспечить </w:t>
      </w:r>
      <w:r>
        <w:rPr>
          <w:rFonts w:ascii="Times New Roman" w:hAnsi="Times New Roman"/>
          <w:sz w:val="28"/>
        </w:rPr>
        <w:t xml:space="preserve">размещение </w:t>
      </w:r>
      <w:r>
        <w:rPr>
          <w:rFonts w:ascii="Times New Roman" w:hAnsi="Times New Roman"/>
          <w:sz w:val="28"/>
        </w:rPr>
        <w:t xml:space="preserve">Программы профилактики </w:t>
      </w:r>
      <w:r>
        <w:rPr>
          <w:rFonts w:ascii="Times New Roman" w:hAnsi="Times New Roman"/>
          <w:sz w:val="28"/>
        </w:rPr>
        <w:t xml:space="preserve">на официальном сайте </w:t>
      </w:r>
      <w:r>
        <w:rPr>
          <w:rFonts w:ascii="Times New Roman" w:hAnsi="Times New Roman"/>
          <w:sz w:val="28"/>
        </w:rPr>
        <w:t xml:space="preserve">администрации города Новокузнецка </w:t>
      </w:r>
      <w:r>
        <w:rPr>
          <w:rFonts w:ascii="Times New Roman" w:hAnsi="Times New Roman"/>
          <w:sz w:val="28"/>
        </w:rPr>
        <w:t>в информационно-телекоммуникационной сети «Интернет»</w:t>
      </w:r>
      <w:r>
        <w:rPr>
          <w:rFonts w:ascii="Times New Roman" w:hAnsi="Times New Roman"/>
          <w:sz w:val="28"/>
        </w:rPr>
        <w:t xml:space="preserve"> в течение 5 дней со дня ее утверждения настоящим постановлением.</w:t>
      </w:r>
      <w:r>
        <w:rPr>
          <w:rFonts w:ascii="Times New Roman" w:hAnsi="Times New Roman"/>
          <w:sz w:val="28"/>
        </w:rPr>
        <w:t xml:space="preserve"> </w:t>
      </w:r>
    </w:p>
    <w:p w14:paraId="1C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>. </w:t>
      </w:r>
      <w:r>
        <w:rPr>
          <w:rFonts w:ascii="Times New Roman" w:hAnsi="Times New Roman"/>
          <w:sz w:val="28"/>
        </w:rPr>
        <w:t>Настоящее постановление вступает в силу после его официального опубликования.</w:t>
      </w:r>
    </w:p>
    <w:p w14:paraId="1D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>. </w:t>
      </w:r>
      <w:r>
        <w:rPr>
          <w:rFonts w:ascii="Times New Roman" w:hAnsi="Times New Roman"/>
          <w:sz w:val="28"/>
        </w:rPr>
        <w:t xml:space="preserve">Контроль за исполнением настоящего </w:t>
      </w:r>
      <w:r>
        <w:rPr>
          <w:rFonts w:ascii="Times New Roman" w:hAnsi="Times New Roman"/>
          <w:sz w:val="28"/>
        </w:rPr>
        <w:t xml:space="preserve">постановления </w:t>
      </w:r>
      <w:r>
        <w:rPr>
          <w:rFonts w:ascii="Times New Roman" w:hAnsi="Times New Roman"/>
          <w:sz w:val="28"/>
        </w:rPr>
        <w:t>возложить на первого заместителя Главы города.</w:t>
      </w:r>
    </w:p>
    <w:p w14:paraId="1E000000">
      <w:pPr>
        <w:ind w:firstLine="709" w:left="0"/>
        <w:rPr>
          <w:rFonts w:ascii="Times New Roman" w:hAnsi="Times New Roman"/>
          <w:sz w:val="28"/>
        </w:rPr>
      </w:pPr>
    </w:p>
    <w:p w14:paraId="1F000000">
      <w:pPr>
        <w:ind w:firstLine="709" w:left="0"/>
        <w:rPr>
          <w:rFonts w:ascii="Times New Roman" w:hAnsi="Times New Roman"/>
          <w:sz w:val="28"/>
        </w:rPr>
      </w:pPr>
    </w:p>
    <w:p w14:paraId="20000000">
      <w:pPr>
        <w:ind w:firstLine="709" w:left="0"/>
        <w:rPr>
          <w:rFonts w:ascii="Times New Roman" w:hAnsi="Times New Roman"/>
          <w:sz w:val="28"/>
        </w:rPr>
      </w:pPr>
    </w:p>
    <w:tbl>
      <w:tblPr>
        <w:tblStyle w:val="Style_5"/>
        <w:tblW w:type="auto" w:w="0"/>
        <w:tblLayout w:type="fixed"/>
      </w:tblPr>
      <w:tblGrid>
        <w:gridCol w:w="5156"/>
        <w:gridCol w:w="5181"/>
      </w:tblGrid>
      <w:tr>
        <w:trPr>
          <w:trHeight w:hRule="atLeast" w:val="485"/>
        </w:trPr>
        <w:tc>
          <w:tcPr>
            <w:tcW w:type="dxa" w:w="5156"/>
          </w:tcPr>
          <w:p w14:paraId="21000000">
            <w:pPr>
              <w:widowControl w:val="0"/>
              <w:tabs>
                <w:tab w:leader="none" w:pos="0" w:val="left"/>
              </w:tabs>
              <w:ind w:firstLine="0" w:left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Глава города</w:t>
            </w:r>
          </w:p>
        </w:tc>
        <w:tc>
          <w:tcPr>
            <w:tcW w:type="dxa" w:w="5181"/>
          </w:tcPr>
          <w:p w14:paraId="22000000">
            <w:pPr>
              <w:widowControl w:val="0"/>
              <w:tabs>
                <w:tab w:leader="none" w:pos="0" w:val="left"/>
              </w:tabs>
              <w:ind w:firstLine="0" w:left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                                   </w:t>
            </w:r>
            <w:r>
              <w:rPr>
                <w:rFonts w:ascii="Times New Roman" w:hAnsi="Times New Roman"/>
                <w:sz w:val="28"/>
              </w:rPr>
              <w:t>Д.П. Ильин</w:t>
            </w:r>
          </w:p>
        </w:tc>
      </w:tr>
    </w:tbl>
    <w:p w14:paraId="23000000">
      <w:pPr>
        <w:ind w:firstLine="3969" w:left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  <w:r>
        <w:rPr>
          <w:rFonts w:ascii="Times New Roman" w:hAnsi="Times New Roman"/>
          <w:sz w:val="28"/>
        </w:rPr>
        <w:t>Приложение</w:t>
      </w:r>
      <w:r>
        <w:rPr>
          <w:rFonts w:ascii="Times New Roman" w:hAnsi="Times New Roman"/>
          <w:sz w:val="28"/>
        </w:rPr>
        <w:t xml:space="preserve"> </w:t>
      </w:r>
    </w:p>
    <w:p w14:paraId="24000000">
      <w:pPr>
        <w:ind w:firstLine="3969" w:left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</w:t>
      </w:r>
      <w:r>
        <w:rPr>
          <w:rFonts w:ascii="Times New Roman" w:hAnsi="Times New Roman"/>
          <w:sz w:val="28"/>
        </w:rPr>
        <w:t>постановлению</w:t>
      </w:r>
      <w:r>
        <w:rPr>
          <w:rFonts w:ascii="Times New Roman" w:hAnsi="Times New Roman"/>
          <w:sz w:val="28"/>
        </w:rPr>
        <w:t xml:space="preserve"> администрации</w:t>
      </w:r>
    </w:p>
    <w:p w14:paraId="25000000">
      <w:pPr>
        <w:ind w:firstLine="3969" w:left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города Новокузнецка</w:t>
      </w:r>
    </w:p>
    <w:p w14:paraId="26000000">
      <w:pPr>
        <w:ind w:firstLine="3969" w:left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___</w:t>
      </w:r>
      <w:r>
        <w:rPr>
          <w:rFonts w:ascii="Times New Roman" w:hAnsi="Times New Roman"/>
          <w:sz w:val="28"/>
        </w:rPr>
        <w:t>_</w:t>
      </w:r>
      <w:r>
        <w:rPr>
          <w:rFonts w:ascii="Times New Roman" w:hAnsi="Times New Roman"/>
          <w:sz w:val="28"/>
        </w:rPr>
        <w:t>_</w:t>
      </w:r>
      <w:r>
        <w:rPr>
          <w:rFonts w:ascii="Times New Roman" w:hAnsi="Times New Roman"/>
          <w:sz w:val="28"/>
        </w:rPr>
        <w:t>____ № _</w:t>
      </w:r>
      <w:r>
        <w:rPr>
          <w:rFonts w:ascii="Times New Roman" w:hAnsi="Times New Roman"/>
          <w:sz w:val="28"/>
        </w:rPr>
        <w:t>__</w:t>
      </w:r>
      <w:r>
        <w:rPr>
          <w:rFonts w:ascii="Times New Roman" w:hAnsi="Times New Roman"/>
          <w:sz w:val="28"/>
        </w:rPr>
        <w:t>___</w:t>
      </w:r>
    </w:p>
    <w:p w14:paraId="27000000">
      <w:pPr>
        <w:ind w:firstLine="3969" w:left="0"/>
        <w:rPr>
          <w:rFonts w:ascii="Times New Roman" w:hAnsi="Times New Roman"/>
          <w:sz w:val="28"/>
        </w:rPr>
      </w:pPr>
    </w:p>
    <w:p w14:paraId="28000000">
      <w:pPr>
        <w:ind w:firstLine="709" w:lef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Программа</w:t>
      </w:r>
      <w:r>
        <w:rPr>
          <w:rFonts w:ascii="Times New Roman" w:hAnsi="Times New Roman"/>
          <w:sz w:val="28"/>
        </w:rPr>
        <w:t xml:space="preserve"> профилактики</w:t>
      </w:r>
    </w:p>
    <w:p w14:paraId="29000000">
      <w:pPr>
        <w:ind w:firstLine="709" w:lef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рисков причинения вреда (ущерба) охраняемым законом ценностям </w:t>
      </w:r>
      <w:r>
        <w:rPr>
          <w:rFonts w:ascii="Times New Roman" w:hAnsi="Times New Roman"/>
          <w:sz w:val="28"/>
        </w:rPr>
        <w:t>при осуществлении муниципального контроля в сфере благоустройства на территории Новокузнецкого городского округа на 2025 год</w:t>
      </w:r>
    </w:p>
    <w:p w14:paraId="2A000000">
      <w:pPr>
        <w:ind w:firstLine="709" w:lef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. Общие положения</w:t>
      </w:r>
    </w:p>
    <w:p w14:paraId="2B000000">
      <w:pPr>
        <w:ind w:firstLine="709" w:left="0"/>
        <w:rPr>
          <w:rFonts w:ascii="Times New Roman" w:hAnsi="Times New Roman"/>
          <w:sz w:val="28"/>
        </w:rPr>
      </w:pPr>
    </w:p>
    <w:p w14:paraId="2C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1.1. П</w:t>
      </w:r>
      <w:r>
        <w:rPr>
          <w:rFonts w:ascii="Times New Roman" w:hAnsi="Times New Roman"/>
          <w:sz w:val="28"/>
        </w:rPr>
        <w:t>рограмма профилактики</w:t>
      </w:r>
      <w:r>
        <w:rPr>
          <w:rFonts w:ascii="Times New Roman" w:hAnsi="Times New Roman"/>
          <w:sz w:val="28"/>
        </w:rPr>
        <w:t xml:space="preserve"> рисков причинения вреда (ущерба) охраняемым законом ценностям </w:t>
      </w:r>
      <w:r>
        <w:rPr>
          <w:rFonts w:ascii="Times New Roman" w:hAnsi="Times New Roman"/>
          <w:sz w:val="28"/>
        </w:rPr>
        <w:t xml:space="preserve">при осуществлении муниципального контроля в сфере благоустройства на территории Новокузнецкого городского округа на 2025 год (далее </w:t>
      </w: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 xml:space="preserve"> Программа профилактики)</w:t>
      </w:r>
      <w:r>
        <w:rPr>
          <w:rFonts w:ascii="Times New Roman" w:hAnsi="Times New Roman"/>
          <w:sz w:val="28"/>
        </w:rPr>
        <w:t xml:space="preserve"> разработана в соотве</w:t>
      </w:r>
      <w:r>
        <w:rPr>
          <w:rFonts w:ascii="Times New Roman" w:hAnsi="Times New Roman"/>
          <w:sz w:val="28"/>
        </w:rPr>
        <w:t xml:space="preserve">тствии с Федеральным законом от </w:t>
      </w:r>
      <w:r>
        <w:rPr>
          <w:rFonts w:ascii="Times New Roman" w:hAnsi="Times New Roman"/>
          <w:sz w:val="28"/>
        </w:rPr>
        <w:t xml:space="preserve">31.07.2020 №248-ФЗ «О государственном контроле (надзоре) и муниципальном контроле в Российской Федерации» (далее </w:t>
      </w: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Закон о контроле</w:t>
      </w:r>
      <w:r>
        <w:rPr>
          <w:rFonts w:ascii="Times New Roman" w:hAnsi="Times New Roman"/>
          <w:sz w:val="28"/>
        </w:rPr>
        <w:t>), постановлением Правит</w:t>
      </w:r>
      <w:r>
        <w:rPr>
          <w:rFonts w:ascii="Times New Roman" w:hAnsi="Times New Roman"/>
          <w:sz w:val="28"/>
        </w:rPr>
        <w:t xml:space="preserve">ельства Российской Федерации от </w:t>
      </w:r>
      <w:r>
        <w:rPr>
          <w:rFonts w:ascii="Times New Roman" w:hAnsi="Times New Roman"/>
          <w:sz w:val="28"/>
        </w:rPr>
        <w:t>25.06.2021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Положением о муниципальном контроле в сфере благоустройства на территории Новокузнецкого городского округа, утвержденным решением Новокузнецкого городского Совета народных депутатов от 22.02.2022 №1/12 «О муниципальном контроле в сфере благоустройства на территории Новокузнецкого городского округа» (далее</w:t>
      </w:r>
      <w:r>
        <w:rPr>
          <w:rFonts w:ascii="Times New Roman" w:hAnsi="Times New Roman"/>
          <w:sz w:val="28"/>
        </w:rPr>
        <w:t xml:space="preserve"> соответственно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Положение</w:t>
      </w:r>
      <w:r>
        <w:rPr>
          <w:rFonts w:ascii="Times New Roman" w:hAnsi="Times New Roman"/>
          <w:sz w:val="28"/>
        </w:rPr>
        <w:t>, контроль в сфере благоустройства</w:t>
      </w:r>
      <w:r>
        <w:rPr>
          <w:rFonts w:ascii="Times New Roman" w:hAnsi="Times New Roman"/>
          <w:sz w:val="28"/>
        </w:rPr>
        <w:t>), Правилами благоустройства территории Новокузнецкого городского округа, утвержденными решением Новокузнецкого городско</w:t>
      </w:r>
      <w:r>
        <w:rPr>
          <w:rFonts w:ascii="Times New Roman" w:hAnsi="Times New Roman"/>
          <w:sz w:val="28"/>
        </w:rPr>
        <w:t xml:space="preserve">го Совета народных депутатов от </w:t>
      </w:r>
      <w:r>
        <w:rPr>
          <w:rFonts w:ascii="Times New Roman" w:hAnsi="Times New Roman"/>
          <w:sz w:val="28"/>
        </w:rPr>
        <w:t xml:space="preserve">24.12.2013 №16/198 «Об утверждении Правил благоустройства территории Новокузнецкого городского округа» (далее </w:t>
      </w: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Правила</w:t>
      </w:r>
      <w:r>
        <w:rPr>
          <w:rFonts w:ascii="Times New Roman" w:hAnsi="Times New Roman"/>
          <w:sz w:val="28"/>
        </w:rPr>
        <w:t xml:space="preserve"> благоустройства</w:t>
      </w:r>
      <w:r>
        <w:rPr>
          <w:rFonts w:ascii="Times New Roman" w:hAnsi="Times New Roman"/>
          <w:sz w:val="28"/>
        </w:rPr>
        <w:t>).</w:t>
      </w:r>
    </w:p>
    <w:p w14:paraId="2D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  <w:sz w:val="28"/>
        </w:rPr>
        <w:t xml:space="preserve">2. Реализация профилактических мероприятий, предусмотренных настоящей Программой профилактики, осуществляется органом, уполномоченным на осуществление контроля в сфере благоустройства -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администрацией города Новокузнецка в лице территориальных органов администрации города Новокузнецка - администраций районов города Новокузнецка (далее - контрольный орган) на подведомственных им территориях.</w:t>
      </w:r>
    </w:p>
    <w:p w14:paraId="2E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имени контрольного органа контроль в сфере благоустройства вправе осуществлять:</w:t>
      </w:r>
    </w:p>
    <w:p w14:paraId="2F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 руководитель контрольного органа (исполняющий обязанности руководителя контрольного органа);</w:t>
      </w:r>
    </w:p>
    <w:p w14:paraId="30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 должностное лицо контрольного органа, к должностным обязанностям которого должностной инструкцией отнесено осуществление полномочий по </w:t>
      </w:r>
      <w:r>
        <w:rPr>
          <w:rFonts w:ascii="Times New Roman" w:hAnsi="Times New Roman"/>
          <w:sz w:val="28"/>
        </w:rPr>
        <w:t>контролю в сфере благоустройства, в том числе проведение профилактических мероприятий и контрольных мероприятий (далее - должностное лицо</w:t>
      </w:r>
      <w:r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>.</w:t>
      </w:r>
    </w:p>
    <w:p w14:paraId="31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Перечень должностных лиц, уполномоченных осуществлять контроль в сфере благоустройства, установлен постановлением администрации города Новокузнецка от 05.09.2025 №201 «Об определении перечня должностных лиц, уполномоченных на осуществление муниципального контроля в сфере благоустройства на территории Новокузнецкого городского округа».</w:t>
      </w:r>
    </w:p>
    <w:p w14:paraId="32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  <w:sz w:val="28"/>
        </w:rPr>
        <w:t>3. </w:t>
      </w:r>
      <w:r>
        <w:rPr>
          <w:rFonts w:ascii="Times New Roman" w:hAnsi="Times New Roman"/>
          <w:sz w:val="28"/>
        </w:rPr>
        <w:t>Контрольн</w:t>
      </w:r>
      <w:r>
        <w:rPr>
          <w:rFonts w:ascii="Times New Roman" w:hAnsi="Times New Roman"/>
          <w:sz w:val="28"/>
        </w:rPr>
        <w:t>ый орган может проводить профилактические мероприятия, не предусмотренные настоящей Программой профилактики.</w:t>
      </w:r>
    </w:p>
    <w:p w14:paraId="33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  <w:sz w:val="28"/>
        </w:rPr>
        <w:t xml:space="preserve">4. Настоящая Программа профилактики действует в течение одного календарного года. </w:t>
      </w:r>
    </w:p>
    <w:p w14:paraId="34000000">
      <w:pPr>
        <w:ind w:firstLine="709" w:left="0"/>
        <w:jc w:val="center"/>
        <w:rPr>
          <w:rFonts w:ascii="Times New Roman" w:hAnsi="Times New Roman"/>
          <w:sz w:val="28"/>
        </w:rPr>
      </w:pPr>
    </w:p>
    <w:p w14:paraId="35000000">
      <w:pPr>
        <w:ind w:firstLine="709" w:lef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 xml:space="preserve">. Анализ текущего состояния осуществления контроля в сфере благоустройства, описание текущего развития профилактической деятельности </w:t>
      </w:r>
      <w:r>
        <w:rPr>
          <w:rFonts w:ascii="Times New Roman" w:hAnsi="Times New Roman"/>
          <w:sz w:val="28"/>
        </w:rPr>
        <w:t xml:space="preserve">контрольного </w:t>
      </w:r>
      <w:r>
        <w:rPr>
          <w:rFonts w:ascii="Times New Roman" w:hAnsi="Times New Roman"/>
          <w:sz w:val="28"/>
        </w:rPr>
        <w:t>органа, характеристика проблем, на решение которых направлена Программа проф</w:t>
      </w:r>
      <w:r>
        <w:rPr>
          <w:rFonts w:ascii="Times New Roman" w:hAnsi="Times New Roman"/>
          <w:sz w:val="28"/>
        </w:rPr>
        <w:t>илактики</w:t>
      </w:r>
    </w:p>
    <w:p w14:paraId="36000000">
      <w:pPr>
        <w:ind w:firstLine="709" w:left="0"/>
        <w:rPr>
          <w:rFonts w:ascii="Times New Roman" w:hAnsi="Times New Roman"/>
          <w:sz w:val="28"/>
        </w:rPr>
      </w:pPr>
    </w:p>
    <w:p w14:paraId="37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2.1. </w:t>
      </w:r>
      <w:r>
        <w:rPr>
          <w:rFonts w:ascii="Times New Roman" w:hAnsi="Times New Roman"/>
          <w:sz w:val="28"/>
        </w:rPr>
        <w:t>Предметом контроля в сфере благоустройства является соблюдение организациями, индивидуальными предпринимателями и физическими лицами (далее - контролируемые лица) обязательных требований, установленных Правилами</w:t>
      </w:r>
      <w:r>
        <w:rPr>
          <w:rFonts w:ascii="Times New Roman" w:hAnsi="Times New Roman"/>
          <w:sz w:val="28"/>
        </w:rPr>
        <w:t xml:space="preserve"> благоустройства</w:t>
      </w:r>
      <w:r>
        <w:rPr>
          <w:rFonts w:ascii="Times New Roman" w:hAnsi="Times New Roman"/>
          <w:sz w:val="28"/>
        </w:rPr>
        <w:t xml:space="preserve">, в том числе требований к обеспечению доступности для инвалидов объектов социальной, инженерной и транспортной инфраструктур </w:t>
      </w:r>
      <w:r>
        <w:rPr>
          <w:rFonts w:ascii="Times New Roman" w:hAnsi="Times New Roman"/>
          <w:sz w:val="28"/>
        </w:rPr>
        <w:t>и предоставляемых услуг, а также исполнение решений, принимаемых по результатам контрольных мероприятий.</w:t>
      </w:r>
    </w:p>
    <w:p w14:paraId="38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</w:t>
      </w:r>
      <w:r>
        <w:rPr>
          <w:rFonts w:ascii="Times New Roman" w:hAnsi="Times New Roman"/>
          <w:sz w:val="28"/>
        </w:rPr>
        <w:t>. </w:t>
      </w:r>
      <w:r>
        <w:rPr>
          <w:rFonts w:ascii="Times New Roman" w:hAnsi="Times New Roman"/>
          <w:sz w:val="28"/>
        </w:rPr>
        <w:t>Объектами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контроля в сфере благоустройства (далее - объект контроля) являются:</w:t>
      </w:r>
    </w:p>
    <w:p w14:paraId="39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1) деятельность, действия </w:t>
      </w:r>
      <w:r>
        <w:rPr>
          <w:rFonts w:ascii="Times New Roman" w:hAnsi="Times New Roman"/>
          <w:sz w:val="28"/>
        </w:rPr>
        <w:t xml:space="preserve">(бездействие) контролируемых </w:t>
      </w:r>
      <w:r>
        <w:rPr>
          <w:rFonts w:ascii="Times New Roman" w:hAnsi="Times New Roman"/>
          <w:sz w:val="28"/>
        </w:rPr>
        <w:t>лиц в сфере благоустройства территории Новокузнецкого городского округа, в рамках которых должны соблюдаться обязательные требования;</w:t>
      </w:r>
    </w:p>
    <w:p w14:paraId="3A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 результаты деятельности контролируемых лиц, в том числе выполняемые работы и оказываемые услуги, к которым предъявляются обязательные требования;</w:t>
      </w:r>
    </w:p>
    <w:p w14:paraId="3B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 здания, строения, сооружения, территории, включая земельные участки, предметы и другие объекты, которыми контролируемые лица владеют и (или) пользуются и к которым предъявляются обязательные требования.</w:t>
      </w:r>
    </w:p>
    <w:p w14:paraId="3C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</w:t>
      </w:r>
      <w:r>
        <w:rPr>
          <w:rFonts w:ascii="Times New Roman" w:hAnsi="Times New Roman"/>
          <w:sz w:val="28"/>
        </w:rPr>
        <w:t>3. Описание текущего развития профилактической деятельности контрольного органа:</w:t>
      </w:r>
      <w:r>
        <w:rPr>
          <w:rFonts w:ascii="Times New Roman" w:hAnsi="Times New Roman"/>
          <w:sz w:val="28"/>
        </w:rPr>
        <w:tab/>
      </w:r>
    </w:p>
    <w:p w14:paraId="3D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 на официальном сайте администрации города Новокузнецка в информационно-телекоммуникационной сети «Ин</w:t>
      </w:r>
      <w:r>
        <w:rPr>
          <w:rFonts w:ascii="Times New Roman" w:hAnsi="Times New Roman"/>
          <w:sz w:val="28"/>
        </w:rPr>
        <w:t>тернет»: http://www.admnkz.info</w:t>
      </w:r>
      <w:r>
        <w:rPr>
          <w:rFonts w:ascii="Times New Roman" w:hAnsi="Times New Roman"/>
          <w:sz w:val="28"/>
        </w:rPr>
        <w:t xml:space="preserve"> (далее - официальный сайт) в специальном разделе, посвященном контрольной деятельности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размещены и поддерживаются в актуальном состоянии:</w:t>
      </w:r>
    </w:p>
    <w:p w14:paraId="3E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 тексты нормативных правовых актов, регулирующих осуществление контроля в сфере благоустройства;</w:t>
      </w:r>
    </w:p>
    <w:p w14:paraId="3F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 сведения об изменениях, внесенных в нормативные правовые акты, регулирующие осуществление контроля в сфере благоустройства, о сроках и порядке их вступления в силу;</w:t>
      </w:r>
    </w:p>
    <w:p w14:paraId="40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 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"consultantplus://offline/ref=97018F8054B437F909F61575EC9B196376D92F55A55C25FC9DF9F64ACB4979DC1CE835FC571BBE9EB5D58F3150cAP1G"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перечень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 в сфере благоустройства, а также информация о мерах ответственности, применяемых при нарушении обязательных требований, с текстами в действующей редакции;</w:t>
      </w:r>
    </w:p>
    <w:p w14:paraId="41000000">
      <w:pPr>
        <w:ind w:firstLine="709" w:left="0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</w:rPr>
        <w:t>- </w:t>
      </w:r>
      <w:r>
        <w:rPr>
          <w:rFonts w:ascii="Times New Roman" w:hAnsi="Times New Roman"/>
          <w:sz w:val="28"/>
          <w:highlight w:val="white"/>
        </w:rPr>
        <w:t>утвержденные проверочные листы в формате, допускающем их использование для самообследования;</w:t>
      </w:r>
    </w:p>
    <w:p w14:paraId="42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- руководства по соблюдению обязательных требований, разработанные и утвержденные в соответствии с Федеральным законом</w:t>
      </w:r>
      <w:r>
        <w:rPr>
          <w:rFonts w:ascii="Times New Roman" w:hAnsi="Times New Roman"/>
          <w:sz w:val="28"/>
          <w:highlight w:val="white"/>
        </w:rPr>
        <w:t xml:space="preserve"> от 31.07.2020</w:t>
      </w:r>
      <w:r>
        <w:rPr>
          <w:rFonts w:ascii="Times New Roman" w:hAnsi="Times New Roman"/>
          <w:sz w:val="28"/>
          <w:highlight w:val="white"/>
        </w:rPr>
        <w:t xml:space="preserve"> </w:t>
      </w:r>
      <w:r>
        <w:rPr>
          <w:rFonts w:ascii="Times New Roman" w:hAnsi="Times New Roman"/>
          <w:sz w:val="28"/>
          <w:highlight w:val="white"/>
        </w:rPr>
        <w:t xml:space="preserve">№247-ФЗ </w:t>
      </w:r>
      <w:r>
        <w:rPr>
          <w:rFonts w:ascii="Times New Roman" w:hAnsi="Times New Roman"/>
          <w:sz w:val="28"/>
          <w:highlight w:val="white"/>
        </w:rPr>
        <w:t>«Об обязательных требованиях в Российской Федерации»;</w:t>
      </w:r>
    </w:p>
    <w:p w14:paraId="43000000">
      <w:pPr>
        <w:ind w:firstLine="709" w:left="0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</w:rPr>
        <w:t xml:space="preserve">- перечень индикаторов риска нарушения обязательных требований, </w:t>
      </w:r>
      <w:r>
        <w:rPr>
          <w:rFonts w:ascii="Times New Roman" w:hAnsi="Times New Roman"/>
          <w:sz w:val="28"/>
          <w:highlight w:val="white"/>
        </w:rPr>
        <w:t>порядок отнесения объектов контроля к категориям риска;</w:t>
      </w:r>
    </w:p>
    <w:p w14:paraId="44000000">
      <w:pPr>
        <w:ind w:firstLine="709" w:left="0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 перечень объектов контроля, учитываемых в рамках формирования ежегодного плана контрольных мероприятий, с указанием категории риска;</w:t>
      </w:r>
    </w:p>
    <w:p w14:paraId="45000000">
      <w:pPr>
        <w:ind w:firstLine="709" w:left="0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 программа профилактики рисков причинения вреда и план проведения плановых контрольных мероприятий контрольным органом (при проведении таких мероприятий);</w:t>
      </w:r>
    </w:p>
    <w:p w14:paraId="46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 исчерпывающий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"consultantplus://offline/ref=97018F8054B437F909F61575EC9B196370D82F56A35825FC9DF9F64ACB4979DC0EE86DF05613A09FB5C0D96016F767662928A1CA7D3CA648c2P8G"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перечень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сведений, которые могут запрашиваться контрольным органом у контролируемого лица;</w:t>
      </w:r>
    </w:p>
    <w:p w14:paraId="47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 сведения о способах получения консультаций по вопросам соблюдения обязательных требований;</w:t>
      </w:r>
    </w:p>
    <w:p w14:paraId="48000000">
      <w:pPr>
        <w:ind w:firstLine="709" w:left="0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</w:rPr>
        <w:t>- </w:t>
      </w:r>
      <w:r>
        <w:rPr>
          <w:rFonts w:ascii="Times New Roman" w:hAnsi="Times New Roman"/>
          <w:sz w:val="28"/>
          <w:highlight w:val="white"/>
        </w:rPr>
        <w:t>сведения о применении контрольным органом мер стимулирования добросовестности контролируемых лиц;</w:t>
      </w:r>
    </w:p>
    <w:p w14:paraId="49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 сведения о порядке досудебного обжалования решений </w:t>
      </w:r>
      <w:r>
        <w:rPr>
          <w:rFonts w:ascii="Times New Roman" w:hAnsi="Times New Roman"/>
          <w:sz w:val="28"/>
        </w:rPr>
        <w:t>контрольного</w:t>
      </w:r>
      <w:r>
        <w:rPr>
          <w:rFonts w:ascii="Times New Roman" w:hAnsi="Times New Roman"/>
          <w:sz w:val="28"/>
        </w:rPr>
        <w:t xml:space="preserve"> органа, действий (бездействия) его должностных лиц;</w:t>
      </w:r>
    </w:p>
    <w:p w14:paraId="4A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 </w:t>
      </w:r>
      <w:r>
        <w:rPr>
          <w:rFonts w:ascii="Times New Roman" w:hAnsi="Times New Roman"/>
          <w:sz w:val="28"/>
          <w:highlight w:val="white"/>
        </w:rPr>
        <w:t>доклады, содержащие результаты обобщения правоприменительной практики контрольного органа;</w:t>
      </w:r>
    </w:p>
    <w:p w14:paraId="4B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 доклады о</w:t>
      </w:r>
      <w:r>
        <w:rPr>
          <w:rFonts w:ascii="Times New Roman" w:hAnsi="Times New Roman"/>
          <w:sz w:val="28"/>
        </w:rPr>
        <w:t xml:space="preserve"> контроле в сфере благоустройства;</w:t>
      </w:r>
    </w:p>
    <w:p w14:paraId="4C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 и</w:t>
      </w:r>
      <w:r>
        <w:rPr>
          <w:rFonts w:ascii="Times New Roman" w:hAnsi="Times New Roman"/>
          <w:sz w:val="28"/>
          <w:highlight w:val="white"/>
        </w:rPr>
        <w:t>нформация о способах и процедуре самообследования (при ее наличии), в том числе методические рекомендации по проведению самообследования и подготовке декларации соблюдения обязательных требований, и информаци</w:t>
      </w:r>
      <w:r>
        <w:rPr>
          <w:rFonts w:ascii="Times New Roman" w:hAnsi="Times New Roman"/>
          <w:sz w:val="28"/>
          <w:highlight w:val="white"/>
        </w:rPr>
        <w:t>я</w:t>
      </w:r>
      <w:r>
        <w:rPr>
          <w:rFonts w:ascii="Times New Roman" w:hAnsi="Times New Roman"/>
          <w:sz w:val="28"/>
          <w:highlight w:val="white"/>
        </w:rPr>
        <w:t xml:space="preserve"> о декларациях соблюдения обязательных требований, представленных контролируемыми лицами;</w:t>
      </w:r>
    </w:p>
    <w:p w14:paraId="4D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 иные сведения, предусмотренные нормативными правовыми актами Российской Федерации, нормативными правовыми актами </w:t>
      </w:r>
      <w:r>
        <w:rPr>
          <w:rFonts w:ascii="Times New Roman" w:hAnsi="Times New Roman"/>
          <w:sz w:val="28"/>
        </w:rPr>
        <w:t>Кемеровской области-Кузбасса</w:t>
      </w:r>
      <w:r>
        <w:rPr>
          <w:rFonts w:ascii="Times New Roman" w:hAnsi="Times New Roman"/>
          <w:sz w:val="28"/>
        </w:rPr>
        <w:t xml:space="preserve">, муниципальными правовыми актами </w:t>
      </w:r>
      <w:r>
        <w:rPr>
          <w:rFonts w:ascii="Times New Roman" w:hAnsi="Times New Roman"/>
          <w:sz w:val="28"/>
        </w:rPr>
        <w:t xml:space="preserve">Новокузнецкого городского округа </w:t>
      </w:r>
      <w:r>
        <w:rPr>
          <w:rFonts w:ascii="Times New Roman" w:hAnsi="Times New Roman"/>
          <w:sz w:val="28"/>
        </w:rPr>
        <w:t>и (или) Программой профилактики;</w:t>
      </w:r>
    </w:p>
    <w:p w14:paraId="4E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 </w:t>
      </w:r>
      <w:r>
        <w:rPr>
          <w:rFonts w:ascii="Times New Roman" w:hAnsi="Times New Roman"/>
          <w:sz w:val="28"/>
        </w:rPr>
        <w:t>в ходе рассмотрения обращений по вопросам, связанным с контролем в сфере благоустройства, разъясняются обязательные требования законодательства, а также права и обязанности контролируемых лиц и должностных лиц контрольного органа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уполномоченных осуществлять </w:t>
      </w:r>
      <w:r>
        <w:rPr>
          <w:rFonts w:ascii="Times New Roman" w:hAnsi="Times New Roman"/>
          <w:sz w:val="28"/>
        </w:rPr>
        <w:t>контроль в сфере благоустройства при проведении мероприятий Программы профилактики.</w:t>
      </w:r>
    </w:p>
    <w:p w14:paraId="4F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</w:t>
      </w:r>
      <w:r>
        <w:rPr>
          <w:rFonts w:ascii="Times New Roman" w:hAnsi="Times New Roman"/>
          <w:sz w:val="28"/>
        </w:rPr>
        <w:t>4. Программа профилактики направлена на предупреждение нарушений обязательных требований в сфере благоустройства на территории Новокузнецкого городского округа.</w:t>
      </w:r>
    </w:p>
    <w:p w14:paraId="50000000">
      <w:pPr>
        <w:ind w:firstLine="709" w:left="0"/>
        <w:rPr>
          <w:rFonts w:ascii="Times New Roman" w:hAnsi="Times New Roman"/>
          <w:sz w:val="28"/>
        </w:rPr>
      </w:pPr>
    </w:p>
    <w:p w14:paraId="51000000">
      <w:pPr>
        <w:ind w:firstLine="709" w:lef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>. Цели и задачи реализ</w:t>
      </w:r>
      <w:r>
        <w:rPr>
          <w:rFonts w:ascii="Times New Roman" w:hAnsi="Times New Roman"/>
          <w:sz w:val="28"/>
        </w:rPr>
        <w:t>ации Программы профилактики</w:t>
      </w:r>
    </w:p>
    <w:p w14:paraId="52000000">
      <w:pPr>
        <w:ind w:firstLine="709" w:left="0"/>
        <w:rPr>
          <w:rFonts w:ascii="Times New Roman" w:hAnsi="Times New Roman"/>
          <w:sz w:val="28"/>
        </w:rPr>
      </w:pPr>
    </w:p>
    <w:p w14:paraId="53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</w:t>
      </w:r>
      <w:r>
        <w:rPr>
          <w:rFonts w:ascii="Times New Roman" w:hAnsi="Times New Roman"/>
          <w:sz w:val="28"/>
        </w:rPr>
        <w:t>1. Профилактика рисков причинения вреда (ущерба) охраняемым законом ценностям направлена на достижение следующих основных целей:</w:t>
      </w:r>
    </w:p>
    <w:p w14:paraId="54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 стимулирование добросовестного соблюдения обязательных требований всеми контролируемыми лицами;</w:t>
      </w:r>
    </w:p>
    <w:p w14:paraId="55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 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56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 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57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</w:t>
      </w:r>
      <w:r>
        <w:rPr>
          <w:rFonts w:ascii="Times New Roman" w:hAnsi="Times New Roman"/>
          <w:sz w:val="28"/>
        </w:rPr>
        <w:t>2. Для достижения целей</w:t>
      </w:r>
      <w:r>
        <w:rPr>
          <w:rFonts w:ascii="Times New Roman" w:hAnsi="Times New Roman"/>
          <w:sz w:val="28"/>
        </w:rPr>
        <w:t xml:space="preserve">, указанных в пункте </w:t>
      </w:r>
      <w:r>
        <w:rPr>
          <w:rFonts w:ascii="Times New Roman" w:hAnsi="Times New Roman"/>
          <w:sz w:val="28"/>
        </w:rPr>
        <w:t>3.1</w:t>
      </w:r>
      <w:r>
        <w:rPr>
          <w:rFonts w:ascii="Times New Roman" w:hAnsi="Times New Roman"/>
          <w:sz w:val="28"/>
        </w:rPr>
        <w:t xml:space="preserve"> настоящей Программы профилактики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необходимо выполнение следующих задач:</w:t>
      </w:r>
    </w:p>
    <w:p w14:paraId="58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 выявление причин, порождающих нарушения, и условий, способствующих их совершению или облегчающих их совершение;</w:t>
      </w:r>
    </w:p>
    <w:p w14:paraId="59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 повышение уровня правовой грамотности и развитие правосознания контролируемых лиц;</w:t>
      </w:r>
    </w:p>
    <w:p w14:paraId="5A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3) совершенствование механизмов эффективного взаимодействия </w:t>
      </w:r>
      <w:r>
        <w:rPr>
          <w:rFonts w:ascii="Times New Roman" w:hAnsi="Times New Roman"/>
          <w:sz w:val="28"/>
        </w:rPr>
        <w:t>контрольного</w:t>
      </w:r>
      <w:r>
        <w:rPr>
          <w:rFonts w:ascii="Times New Roman" w:hAnsi="Times New Roman"/>
          <w:sz w:val="28"/>
        </w:rPr>
        <w:t xml:space="preserve"> органа с контролируемыми лицами по вопросам профилактики нарушений.</w:t>
      </w:r>
    </w:p>
    <w:p w14:paraId="5B000000">
      <w:pPr>
        <w:ind w:firstLine="709" w:left="0"/>
        <w:rPr>
          <w:rFonts w:ascii="Times New Roman" w:hAnsi="Times New Roman"/>
          <w:sz w:val="28"/>
        </w:rPr>
      </w:pPr>
    </w:p>
    <w:p w14:paraId="5C000000">
      <w:pPr>
        <w:ind w:firstLine="709" w:lef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>. Перечен</w:t>
      </w:r>
      <w:r>
        <w:rPr>
          <w:rFonts w:ascii="Times New Roman" w:hAnsi="Times New Roman"/>
          <w:sz w:val="28"/>
        </w:rPr>
        <w:t>ь профилактических мероприятий,</w:t>
      </w:r>
    </w:p>
    <w:p w14:paraId="5D000000">
      <w:pPr>
        <w:ind w:firstLine="709" w:lef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сроки (периодичность) их проведения</w:t>
      </w:r>
    </w:p>
    <w:p w14:paraId="5E000000">
      <w:pPr>
        <w:ind w:firstLine="709" w:left="0"/>
        <w:rPr>
          <w:rFonts w:ascii="Times New Roman" w:hAnsi="Times New Roman"/>
          <w:sz w:val="28"/>
        </w:rPr>
      </w:pPr>
    </w:p>
    <w:p w14:paraId="5F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</w:t>
      </w:r>
      <w:r>
        <w:rPr>
          <w:rFonts w:ascii="Times New Roman" w:hAnsi="Times New Roman"/>
          <w:sz w:val="28"/>
        </w:rPr>
        <w:t>1. </w:t>
      </w:r>
      <w:r>
        <w:rPr>
          <w:rFonts w:ascii="Times New Roman" w:hAnsi="Times New Roman"/>
          <w:sz w:val="28"/>
        </w:rPr>
        <w:t>Контрольным органом при осуществлении контроля в сфере благоустройства используются следующие виды профилактических мероприятий:</w:t>
      </w:r>
    </w:p>
    <w:p w14:paraId="60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 информирование;</w:t>
      </w:r>
    </w:p>
    <w:p w14:paraId="61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 объявление предостережения о недопустимости нарушения обязательных требований (далее - предостережение);</w:t>
      </w:r>
    </w:p>
    <w:p w14:paraId="62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 консультирование;</w:t>
      </w:r>
    </w:p>
    <w:p w14:paraId="63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 профилактический визит.</w:t>
      </w:r>
    </w:p>
    <w:p w14:paraId="64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4.1.1. Информирование по вопросам соблюдения обязательных требований осуществляется контрольным органом посредством размещения соответствующих сведений на официальном сайте в специальном разделе, посвященном контрольной деятельности,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</w:r>
    </w:p>
    <w:p w14:paraId="65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Администрация города Новокузнецка обязана размещать и поддерживать в актуальном состоянии на официальном сайте в специальном разделе, посвященном контрольной деятельности, сведения, предусмотренные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"https://login.consultant.ru/link/?req=doc&amp;base=LAW&amp;n=499669&amp;dst=100512"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частью 3 статьи 46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Закона о контроле, за исключением перечня объектов контроля с указанием категорий риска, который размещается контрольным органом.</w:t>
      </w:r>
    </w:p>
    <w:p w14:paraId="66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Контрольный орган вправе осуществить информирование населения Новокузнецкого городского округа об обязательных требованиях, предъявляемых к объектам контроля, в том числе в следующих формах:</w:t>
      </w:r>
    </w:p>
    <w:p w14:paraId="67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 при проведении собраний, конференций граждан, круглых столов и в иных формах совместного присутствия граждан;</w:t>
      </w:r>
    </w:p>
    <w:p w14:paraId="68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 путем направления контролируемым лицам рекомендаций о соблюдении обязательных требований, в том числе в ходе проведения контрольных и профилактических мероприятий;</w:t>
      </w:r>
    </w:p>
    <w:p w14:paraId="69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 путем размещения информации в социальных сетях контрольного органа.</w:t>
      </w:r>
    </w:p>
    <w:p w14:paraId="6A000000">
      <w:pPr>
        <w:pStyle w:val="Style_3"/>
        <w:spacing w:after="0" w:before="0"/>
        <w:ind w:firstLine="709" w:left="0"/>
        <w:jc w:val="both"/>
        <w:rPr>
          <w:sz w:val="28"/>
        </w:rPr>
      </w:pPr>
      <w:r>
        <w:rPr>
          <w:sz w:val="28"/>
        </w:rPr>
        <w:t>Информирование контролируемых лиц по вопросам соблюдения обязательных требований осуществляется постоянно в течение календарного года.</w:t>
      </w:r>
    </w:p>
    <w:p w14:paraId="6B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4.1.2. </w:t>
      </w:r>
      <w:bookmarkStart w:id="2" w:name="Par0"/>
      <w:bookmarkEnd w:id="2"/>
      <w:r>
        <w:rPr>
          <w:rFonts w:ascii="Times New Roman" w:hAnsi="Times New Roman"/>
          <w:sz w:val="28"/>
        </w:rPr>
        <w:t>Предостережение объявляется контролируемому лицу в случае наличия у контрольного органа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</w:t>
      </w:r>
    </w:p>
    <w:p w14:paraId="6C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Предостережение объявляется (подписывается) руководителем контрольного органа (исполняющим обязанности руководителя контрольного органа) и направляется контролируемому лицу в порядке, предусмотренном Законом о контроле, не позднее тридцати календарных дней со дня получения сведений, указанных в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\l "Par0"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абзаце первом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настоящего пункта.</w:t>
      </w:r>
    </w:p>
    <w:p w14:paraId="6D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Предостережение не может содержать требования о представлении контролируемым лицом сведений и документов, сроки устранения последствий, возникших в результате действий (бездействия) контролируемого лица, которые могут привести или приводят к нарушению обязательных требований.</w:t>
      </w:r>
    </w:p>
    <w:p w14:paraId="6E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результатам рассмотрения предостережения контролируемым лицом в течение двадцати рабочих дней может быть подано в контрольный орган возражение, в котором указываются:</w:t>
      </w:r>
    </w:p>
    <w:p w14:paraId="6F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 наименование юридического лица, фамилия, имя, отчество (при наличии) индивидуального предпринимателя</w:t>
      </w:r>
      <w:r>
        <w:rPr>
          <w:rFonts w:ascii="Times New Roman" w:hAnsi="Times New Roman"/>
          <w:sz w:val="28"/>
        </w:rPr>
        <w:t>, физического лица</w:t>
      </w:r>
      <w:r>
        <w:rPr>
          <w:rFonts w:ascii="Times New Roman" w:hAnsi="Times New Roman"/>
          <w:sz w:val="28"/>
        </w:rPr>
        <w:t>;</w:t>
      </w:r>
    </w:p>
    <w:p w14:paraId="70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 идентификационный номер налогоплательщика - контролируемого лица;</w:t>
      </w:r>
    </w:p>
    <w:p w14:paraId="71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 дата и номер предостережения, направленного в адрес контролируемого лица;</w:t>
      </w:r>
    </w:p>
    <w:p w14:paraId="72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4) обоснование позиции в отношении указанных в предостережении действий (бездействия) контролируемого лица, которые приводят или могут </w:t>
      </w:r>
      <w:r>
        <w:rPr>
          <w:rFonts w:ascii="Times New Roman" w:hAnsi="Times New Roman"/>
          <w:sz w:val="28"/>
        </w:rPr>
        <w:t>привести к нарушению обязательных требований, с приложением документов, подтверждающих обоснованность возражений, или их копий.</w:t>
      </w:r>
    </w:p>
    <w:p w14:paraId="73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Возражения направляются в контрольный орган в бумажном виде почтовым отправлением, либо в виде электронного документа на указанный в предостережении адрес электронной почты, либо иными указанными в предостережении способами.</w:t>
      </w:r>
    </w:p>
    <w:p w14:paraId="74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Контрольный орган по итогам рассмотрения возражения принимает одно из следующих решений:</w:t>
      </w:r>
    </w:p>
    <w:p w14:paraId="75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 об отмене предостережения;</w:t>
      </w:r>
    </w:p>
    <w:p w14:paraId="76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 об оставлении предостережения в силе.</w:t>
      </w:r>
    </w:p>
    <w:p w14:paraId="77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итогам рассмотрения возражения контролируемому лицу в течение двадцати рабочих дней со дня получения возражения направляется ответ в бумажном виде заказным почтовым отправлением с уведомлением о вручении либо иным доступным для контролируемого лица способом, включая направление ответа в виде электронного документа, подписанного усиленной квалифицированной электронной подписью лица, принявшего решение о направлении предостережения.</w:t>
      </w:r>
    </w:p>
    <w:p w14:paraId="78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Повторное направление возражения по доводам, указанным в первоначальном возражении, не допускается.</w:t>
      </w:r>
    </w:p>
    <w:p w14:paraId="79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Контрольный орган осуществляет учет объявленных им предостережений и использует соответствующие данные для проведения иных профилактических мероприятий и контрольных мероприятий.</w:t>
      </w:r>
    </w:p>
    <w:p w14:paraId="7A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Предостережение объявляется контролируемому лицу постоянно в течение календарного года в случае наличия у контрольного органа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</w:t>
      </w:r>
    </w:p>
    <w:p w14:paraId="7B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4.1.3. Консультирование контролируемых лиц осуществляется должностным лицом, уполномоченным осуществлять контроль в сфере благоустройства, по телефону, посредством видео-конференц-связи, на личном приеме либо в ходе проведения профилактических мероприятий, контрольных мероприятий и не должно превышать пятнадцати минут. Консультирование контролируемых лиц в устной форме может осуществляться также на собраниях и конференциях граждан.</w:t>
      </w:r>
    </w:p>
    <w:p w14:paraId="7C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Личный прием граждан проводится руководителем контрольного органа (исполняющим обязанности руководителя контрольного органа). Информация о месте приема, а также об установленных для приема днях и часах размещается на официальном сайте в специальном разделе, посвященном контрольной деятельности.</w:t>
      </w:r>
    </w:p>
    <w:p w14:paraId="7D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Консультирование осуществляется в устной или письменной форме по следующим вопросам:</w:t>
      </w:r>
    </w:p>
    <w:p w14:paraId="7E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 организация и осуществление контроля в сфере благоустройства;</w:t>
      </w:r>
    </w:p>
    <w:p w14:paraId="7F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 порядок осуществления контрольных мероприятий, установленных Положением;</w:t>
      </w:r>
    </w:p>
    <w:p w14:paraId="80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 порядок обжалования действий (бездействия) должностных лиц, уполномоченных осуществлять контроль в сфере благоустройства;</w:t>
      </w:r>
    </w:p>
    <w:p w14:paraId="81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 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контрольным органом в рамках контрольных мероприятий.</w:t>
      </w:r>
    </w:p>
    <w:p w14:paraId="82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итогам консультирования информация в письменной форме контролируемым лицам и их представителям не предоставляется, за исключением следующих случаев:</w:t>
      </w:r>
    </w:p>
    <w:p w14:paraId="83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 контролируемым лицом представлен письменный запрос о предоставлении письменного ответа по вопросам консультирования;</w:t>
      </w:r>
    </w:p>
    <w:p w14:paraId="84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 за время консультирования предоставить в устной форме ответ на поставленные вопросы невозможно;</w:t>
      </w:r>
    </w:p>
    <w:p w14:paraId="85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 ответ на поставленные вопросы требует дополнительного запроса сведений.</w:t>
      </w:r>
    </w:p>
    <w:p w14:paraId="86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Письменный ответ контролируемым лицам и их представителям предоставляется в сроки, установленные Федеральным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"https://login.consultant.ru/link/?req=doc&amp;base=LAW&amp;n=494960"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законом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от 02.05.2006 №59-ФЗ «О порядке рассмотрения обращений граждан Российской Федерации».</w:t>
      </w:r>
    </w:p>
    <w:p w14:paraId="87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осуществлении консультирования должностное лицо, уполномоченное осуществлять контроль в сфере благоустройства, обязано соблюдать конфиденциальность информации, доступ к которой ограничен в соответствии с законодательством Российской Федерации.</w:t>
      </w:r>
    </w:p>
    <w:p w14:paraId="88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ходе консультирования не может предоставляться информация, содержащая оценку конкретного контрольного мероприятия, решений и (или) действий должностных лиц, уполномоченных осуществлять контроль в сфере благоустройства, иных участников контрольного мероприятия.</w:t>
      </w:r>
    </w:p>
    <w:p w14:paraId="89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Информация, ставшая известной должностному лицу, уполномоченному осуществлять контроль в сфере благоустройства, в ходе консультирования, не может использоваться контрольным органом в целях оценки контролируемого лица по вопросам соблюдения обязательных требований.</w:t>
      </w:r>
    </w:p>
    <w:p w14:paraId="8A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Должностными лицами, уполномоченными осуществлять контроль в сфере благоустройства, ведется журнал учета консультирований.</w:t>
      </w:r>
    </w:p>
    <w:p w14:paraId="8B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случае поступления в контрольный орган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в специальном разделе, посвященном контрольной деятельности, письменного разъяснения, подписанного руководителем контрольного органа (исполняющим обязанности руководителя контрольного органа).</w:t>
      </w:r>
    </w:p>
    <w:p w14:paraId="8C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Консультирование проводится постоянно в течении календарного года по обращениям контролируемых лиц и их представителей также при проведении профилактических и контрольных мероприятий.</w:t>
      </w:r>
    </w:p>
    <w:p w14:paraId="8D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4.1.4. Профилактический визит осуществляется в соответствии со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"https://login.consultant.ru/link/?req=doc&amp;base=LAW&amp;n=499669&amp;dst=101361"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статьями 52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-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"https://login.consultant.ru/link/?req=doc&amp;base=LAW&amp;n=499669&amp;dst=101391"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52.2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Закона о контроле.</w:t>
      </w:r>
    </w:p>
    <w:p w14:paraId="8E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Профилактический визит проводится в форме профилактической беседы должностным лицом, уполномоченным осуществлять контроль в сфере благоустройства, по месту осуществления деятельности контролируемого лица либо путем использования видео-конференц-связи или мобильного приложения «Инспектор». Решение об использовании мобильного приложения «Инспектор» принимается должностным лицом, уполномоченным осуществлять контроль в сфере благоустройства, самостоятельно.</w:t>
      </w:r>
    </w:p>
    <w:p w14:paraId="8F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Профилактический визит проводится по инициативе контрольного органа (обязательный профилактический визит) или по инициативе контролируемого лица.</w:t>
      </w:r>
    </w:p>
    <w:p w14:paraId="90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Обязательный профилактический визит проводится в случаях, предусмотренных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"https://login.consultant.ru/link/?req=doc&amp;base=LAW&amp;n=499669&amp;dst=101368"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пунктом 1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"https://login.consultant.ru/link/?req=doc&amp;base=LAW&amp;n=499669&amp;dst=101372"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подпунктами «а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»,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"https://login.consultant.ru/link/?req=doc&amp;base=LAW&amp;n=499669&amp;dst=101373"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«б» пункта 4 части 1 статьи 52.1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Закона о контроле.</w:t>
      </w:r>
    </w:p>
    <w:p w14:paraId="91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Обязательный профилактический визит не предусматривает отказ контролируемого лица от его проведения.</w:t>
      </w:r>
    </w:p>
    <w:p w14:paraId="92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 результатам обязательного профилактического визита оформляется акт о проведении обязательного профилактического визита в порядке, предусмотренном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"https://login.consultant.ru/link/?req=doc&amp;base=LAW&amp;n=499669&amp;dst=100996"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статьей 90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Закона о контроле для контрольных мероприятий.</w:t>
      </w:r>
    </w:p>
    <w:p w14:paraId="93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Профилактический визит по инициативе контролируемых лиц, указанных в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"https://login.consultant.ru/link/?req=doc&amp;base=LAW&amp;n=499669&amp;dst=101392"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части 1 статьи 52.2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Закона о контроле, проводится по заявлению контролируемого лица</w:t>
      </w:r>
    </w:p>
    <w:p w14:paraId="94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случае если при проведении профилактического визита установлено, что объекты контроля представляют явную непосредственную угрозу причинения вреда (ущерба) охраняемым законом ценностям или такой вред (ущерб) причинен, должностное лицо, уполномоченное осуществлять контроль в сфере благоустройства, незамедлительно направляет информацию об этом руководителю контрольного органа (исполняющему обязанности руководителя контрольного органа) для принятия решения о проведении контрольных мероприятий.</w:t>
      </w:r>
    </w:p>
    <w:p w14:paraId="95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"https://login.consultant.ru/link/?req=doc&amp;base=LAW&amp;n=516061&amp;dst=100009"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Периодичность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проведения обязательных профилактических визитов определяется постановлением Правительства Российской Федерации от </w:t>
      </w:r>
      <w:r>
        <w:rPr>
          <w:rFonts w:ascii="Times New Roman" w:hAnsi="Times New Roman"/>
          <w:sz w:val="28"/>
        </w:rPr>
        <w:t xml:space="preserve">01.10.2025 №1511 </w:t>
      </w:r>
      <w:r>
        <w:rPr>
          <w:rFonts w:ascii="Times New Roman" w:hAnsi="Times New Roman"/>
          <w:sz w:val="28"/>
        </w:rPr>
        <w:t>«О периодичности проведения обязательных профилактических визитов в рамках государственного контроля (надзора), муниципального контроля» - для объектов контроля, отнесенных к категории среднего или умеренного риска.</w:t>
      </w:r>
    </w:p>
    <w:p w14:paraId="96000000">
      <w:pPr>
        <w:ind w:firstLine="708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Контрольный орган для целей управления рисками причинения вреда (ущерба) при осуществлении контроля в сфере благоустройства относит объекты контроля к одной из следующих категорий риска причинения вреда (ущерба) (далее - категории риска):</w:t>
      </w:r>
    </w:p>
    <w:p w14:paraId="97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 средний риск;</w:t>
      </w:r>
    </w:p>
    <w:p w14:paraId="98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 умеренный риск;</w:t>
      </w:r>
    </w:p>
    <w:p w14:paraId="99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 низкий риск.</w:t>
      </w:r>
    </w:p>
    <w:p w14:paraId="9A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Отнесение объекта контроля к одной из категорий риска осуществляется на основе сопоставления его характеристик с критериями риска причинения вреда (ущерба) охраняемым законом ценностям.</w:t>
      </w:r>
    </w:p>
    <w:p w14:paraId="9B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категории среднего риска относятся объекты контроля в сфере благоустройства, по которым в течение последних двух лет на дату принятия решения об отнесении к категории риска имеются два неотмененных предписания об устранении выявленных нарушений, выданных по итогам контрольных мероприятий, в ходе которых были выявлены нарушения обязательных требований, установленных Правилами благоустройства.</w:t>
      </w:r>
    </w:p>
    <w:p w14:paraId="9C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категории умеренного риска относятся объекты контроля в сфере благоустройства, по которым в течение одного года на дату принятия решения об отнесении к категории риска объявлено не менее трех предостережений о недопустимости нарушения обязательных требований, установленных Правилами благоустройства.</w:t>
      </w:r>
    </w:p>
    <w:p w14:paraId="9D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категории низкого риска относятся объекты контроля в сфере благоустройства, не отнесенные к категориям среднего и умеренного риска.</w:t>
      </w:r>
    </w:p>
    <w:p w14:paraId="9E000000">
      <w:pPr>
        <w:ind w:firstLine="708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текущей момент отсутствуют объекты контроля, отнесенные к категориям среднего и умеренного риска.</w:t>
      </w:r>
    </w:p>
    <w:p w14:paraId="9F000000">
      <w:pPr>
        <w:ind w:firstLine="709" w:left="0"/>
        <w:jc w:val="center"/>
        <w:rPr>
          <w:rFonts w:ascii="Times New Roman" w:hAnsi="Times New Roman"/>
          <w:sz w:val="28"/>
        </w:rPr>
      </w:pPr>
    </w:p>
    <w:p w14:paraId="A0000000">
      <w:pPr>
        <w:ind w:firstLine="709" w:lef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 Показатели результативности и эффективности</w:t>
      </w:r>
    </w:p>
    <w:p w14:paraId="A1000000">
      <w:pPr>
        <w:ind w:firstLine="709" w:lef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Программы профилактики</w:t>
      </w:r>
    </w:p>
    <w:p w14:paraId="A2000000">
      <w:pPr>
        <w:ind w:firstLine="709" w:left="0"/>
        <w:rPr>
          <w:rFonts w:ascii="Times New Roman" w:hAnsi="Times New Roman"/>
          <w:sz w:val="28"/>
        </w:rPr>
      </w:pPr>
    </w:p>
    <w:p w14:paraId="A3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5.1. Показателями результативности и эффективности Программы профилактики являются:</w:t>
      </w:r>
    </w:p>
    <w:p w14:paraId="A4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 информированность контролируемых лиц по вопросам соблюдения обязательных требований;</w:t>
      </w:r>
    </w:p>
    <w:p w14:paraId="A5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 понятность и доступность обязательных требований;</w:t>
      </w:r>
    </w:p>
    <w:p w14:paraId="A6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3) информированность контролируемых лиц о порядке осуществления контроля в сфере благоустройства, о порядке проведения контрольных и профилактических мероприятий, о порядке обжалования решений контрольного органа, действий (бездействия) должностных лиц контрольного органа. </w:t>
      </w:r>
    </w:p>
    <w:p w14:paraId="A7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Показатели результативности и эффективности Программы профилактики определяются исходя из следующего:</w:t>
      </w:r>
    </w:p>
    <w:p w14:paraId="A8000000">
      <w:pPr>
        <w:ind w:firstLine="709" w:left="0"/>
        <w:rPr>
          <w:rFonts w:ascii="Times New Roman" w:hAnsi="Times New Roman"/>
          <w:sz w:val="28"/>
        </w:rPr>
      </w:pPr>
    </w:p>
    <w:tbl>
      <w:tblPr>
        <w:tblStyle w:val="Style_5"/>
        <w:tblW w:type="auto" w:w="0"/>
        <w:tblInd w:type="dxa" w:w="62"/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851"/>
        <w:gridCol w:w="5882"/>
        <w:gridCol w:w="2906"/>
      </w:tblGrid>
      <w:tr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9000000">
            <w:pPr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  <w:p w14:paraId="AA000000">
            <w:pPr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п/п</w:t>
            </w:r>
          </w:p>
        </w:tc>
        <w:tc>
          <w:tcPr>
            <w:tcW w:type="dxa" w:w="58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B000000">
            <w:pPr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Показатели результативности и эффективности</w:t>
            </w:r>
          </w:p>
          <w:p w14:paraId="AC000000">
            <w:pPr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Программы профилактики</w:t>
            </w:r>
          </w:p>
          <w:p w14:paraId="AD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9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E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Единица измерения, свидетельствующая о максимальной результативности и эффективности Программы профилактики</w:t>
            </w:r>
          </w:p>
        </w:tc>
      </w:tr>
      <w:tr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F000000">
            <w:pPr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type="dxa" w:w="58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0000000">
            <w:pPr>
              <w:ind w:firstLine="0" w:lef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Полнота информации, размещенной на официальном сайте в соответствии с </w:t>
            </w: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>HYPERLINK "https://login.consultant.ru/link/?req=doc&amp;base=LAW&amp;n=499669&amp;dst=100512"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частью 3 статьи 46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 xml:space="preserve"> Законом о контроле</w:t>
            </w:r>
          </w:p>
        </w:tc>
        <w:tc>
          <w:tcPr>
            <w:tcW w:type="dxa" w:w="29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1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менее 100 %</w:t>
            </w:r>
          </w:p>
        </w:tc>
      </w:tr>
      <w:tr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2000000">
            <w:pPr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type="dxa" w:w="58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3000000">
            <w:pPr>
              <w:ind w:firstLine="0" w:lef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Доля устраненных нарушений обязательных требований от числа выявленных нарушений обязательных требований</w:t>
            </w:r>
          </w:p>
        </w:tc>
        <w:tc>
          <w:tcPr>
            <w:tcW w:type="dxa" w:w="29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4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менее 80 %</w:t>
            </w:r>
          </w:p>
        </w:tc>
      </w:tr>
      <w:tr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5000000">
            <w:pPr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type="dxa" w:w="58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6000000">
            <w:pPr>
              <w:ind w:firstLine="0" w:lef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Доля обоснованных жалоб на действия (бездействие) контрольного органа и (или) должностных лиц, уполномоченных осуществлять контроль в сфере благоустройства, при проведении контрольных мероприятий от общего количества поступивших жалоб</w:t>
            </w:r>
          </w:p>
        </w:tc>
        <w:tc>
          <w:tcPr>
            <w:tcW w:type="dxa" w:w="29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7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более 10%</w:t>
            </w:r>
          </w:p>
        </w:tc>
      </w:tr>
      <w:tr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8000000">
            <w:pPr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type="dxa" w:w="58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9000000">
            <w:pPr>
              <w:ind w:firstLine="0" w:lef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Доля отмененных результатов контрольных мероприятий</w:t>
            </w:r>
          </w:p>
        </w:tc>
        <w:tc>
          <w:tcPr>
            <w:tcW w:type="dxa" w:w="29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A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более 10%</w:t>
            </w:r>
          </w:p>
        </w:tc>
      </w:tr>
      <w:tr>
        <w:trPr>
          <w:trHeight w:hRule="atLeast" w:val="886"/>
        </w:trPr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B000000">
            <w:pPr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type="dxa" w:w="58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C000000">
            <w:pPr>
              <w:ind w:firstLine="0" w:lef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Доля решений, принятых по результатам контрольных мероприятий, отмененных судом, от общего количества решений</w:t>
            </w:r>
          </w:p>
          <w:p w14:paraId="BD000000">
            <w:pPr>
              <w:ind w:firstLine="0" w:left="80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9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E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более 10%</w:t>
            </w:r>
          </w:p>
        </w:tc>
      </w:tr>
    </w:tbl>
    <w:p w14:paraId="BF000000">
      <w:pPr>
        <w:ind w:firstLine="709" w:left="0"/>
        <w:rPr>
          <w:rFonts w:ascii="Times New Roman" w:hAnsi="Times New Roman"/>
          <w:sz w:val="24"/>
        </w:rPr>
      </w:pPr>
    </w:p>
    <w:p w14:paraId="C0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 о достижении показателей результативности и эффективности Программы профилактики подлежат включению в доклад об осуществлении контроля в сфере благоустройства.</w:t>
      </w:r>
    </w:p>
    <w:p w14:paraId="C1000000">
      <w:pPr>
        <w:ind w:firstLine="709" w:left="0"/>
        <w:rPr>
          <w:rFonts w:ascii="Times New Roman" w:hAnsi="Times New Roman"/>
          <w:sz w:val="28"/>
        </w:rPr>
      </w:pPr>
    </w:p>
    <w:p w14:paraId="C2000000">
      <w:pPr>
        <w:ind w:firstLine="709" w:left="0"/>
        <w:rPr>
          <w:rFonts w:ascii="Times New Roman" w:hAnsi="Times New Roman"/>
          <w:sz w:val="28"/>
        </w:rPr>
      </w:pPr>
    </w:p>
    <w:p w14:paraId="C3000000">
      <w:pPr>
        <w:ind w:firstLine="709" w:left="0"/>
        <w:rPr>
          <w:rFonts w:ascii="Times New Roman" w:hAnsi="Times New Roman"/>
          <w:sz w:val="24"/>
        </w:rPr>
      </w:pPr>
    </w:p>
    <w:p w14:paraId="C4000000">
      <w:pPr>
        <w:ind w:firstLine="0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Первый заместитель Главы города                                                        Е.А. </w:t>
      </w:r>
      <w:r>
        <w:rPr>
          <w:rFonts w:ascii="Times New Roman" w:hAnsi="Times New Roman"/>
          <w:sz w:val="28"/>
        </w:rPr>
        <w:t>Бедарев</w:t>
      </w:r>
    </w:p>
    <w:p w14:paraId="C5000000">
      <w:pPr>
        <w:ind w:firstLine="0" w:left="0"/>
        <w:rPr>
          <w:rFonts w:ascii="Times New Roman" w:hAnsi="Times New Roman"/>
          <w:sz w:val="24"/>
        </w:rPr>
      </w:pPr>
    </w:p>
    <w:sectPr>
      <w:headerReference r:id="rId2" w:type="default"/>
      <w:headerReference r:id="rId1" w:type="first"/>
      <w:pgSz w:h="16838" w:orient="portrait" w:w="11905"/>
      <w:pgMar w:bottom="1134" w:footer="0" w:gutter="0" w:header="567" w:left="1418" w:right="851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center"/>
    </w:pPr>
  </w:p>
  <w:p w14:paraId="02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ind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 xml:space="preserve"> </w:t>
    </w:r>
    <w:r>
      <w:rPr>
        <w:rFonts w:ascii="Times New Roman" w:hAnsi="Times New Roman"/>
      </w:rPr>
      <w:fldChar w:fldCharType="end"/>
    </w:r>
  </w:p>
  <w:p w14:paraId="04000000">
    <w:pPr>
      <w:pStyle w:val="Style_1"/>
      <w:ind/>
      <w:jc w:val="center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0" w:before="0" w:line="240" w:lineRule="auto"/>
        <w:ind w:firstLine="284" w:left="0" w:right="0"/>
        <w:jc w:val="both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6" w:type="paragraph">
    <w:name w:val="toc 2"/>
    <w:next w:val="Style_2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2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heading 7"/>
    <w:basedOn w:val="Style_2"/>
    <w:next w:val="Style_2"/>
    <w:link w:val="Style_8_ch"/>
    <w:uiPriority w:val="9"/>
    <w:qFormat/>
    <w:pPr>
      <w:keepNext w:val="1"/>
      <w:keepLines w:val="1"/>
      <w:spacing w:before="200"/>
      <w:ind w:firstLine="0" w:left="0"/>
      <w:jc w:val="left"/>
      <w:outlineLvl w:val="6"/>
    </w:pPr>
    <w:rPr>
      <w:rFonts w:asciiTheme="majorAscii" w:hAnsiTheme="majorHAnsi"/>
      <w:i w:val="1"/>
      <w:color w:themeColor="text1" w:themeTint="BF" w:val="404040"/>
      <w:sz w:val="20"/>
    </w:rPr>
  </w:style>
  <w:style w:styleId="Style_8_ch" w:type="character">
    <w:name w:val="heading 7"/>
    <w:basedOn w:val="Style_2_ch"/>
    <w:link w:val="Style_8"/>
    <w:rPr>
      <w:rFonts w:asciiTheme="majorAscii" w:hAnsiTheme="majorHAnsi"/>
      <w:i w:val="1"/>
      <w:color w:themeColor="text1" w:themeTint="BF" w:val="404040"/>
      <w:sz w:val="20"/>
    </w:rPr>
  </w:style>
  <w:style w:styleId="Style_9" w:type="paragraph">
    <w:name w:val="toc 6"/>
    <w:next w:val="Style_2"/>
    <w:link w:val="Style_9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2"/>
    <w:link w:val="Style_10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End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Endnote"/>
    <w:link w:val="Style_11"/>
    <w:rPr>
      <w:rFonts w:ascii="XO Thames" w:hAnsi="XO Thames"/>
      <w:sz w:val="22"/>
    </w:rPr>
  </w:style>
  <w:style w:styleId="Style_12" w:type="paragraph">
    <w:name w:val="heading 3"/>
    <w:basedOn w:val="Style_13"/>
    <w:next w:val="Style_13"/>
    <w:link w:val="Style_12_ch"/>
    <w:uiPriority w:val="9"/>
    <w:qFormat/>
    <w:pPr>
      <w:keepNext w:val="1"/>
      <w:ind/>
      <w:jc w:val="center"/>
      <w:outlineLvl w:val="2"/>
    </w:pPr>
    <w:rPr>
      <w:b w:val="1"/>
      <w:sz w:val="24"/>
    </w:rPr>
  </w:style>
  <w:style w:styleId="Style_12_ch" w:type="character">
    <w:name w:val="heading 3"/>
    <w:basedOn w:val="Style_13_ch"/>
    <w:link w:val="Style_12"/>
    <w:rPr>
      <w:b w:val="1"/>
      <w:sz w:val="24"/>
    </w:rPr>
  </w:style>
  <w:style w:styleId="Style_3" w:type="paragraph">
    <w:name w:val="formattext"/>
    <w:basedOn w:val="Style_2"/>
    <w:link w:val="Style_3_ch"/>
    <w:pPr>
      <w:spacing w:after="100" w:before="100"/>
      <w:ind w:firstLine="0" w:left="0"/>
      <w:jc w:val="left"/>
    </w:pPr>
    <w:rPr>
      <w:rFonts w:ascii="Times New Roman" w:hAnsi="Times New Roman"/>
      <w:sz w:val="24"/>
    </w:rPr>
  </w:style>
  <w:style w:styleId="Style_3_ch" w:type="character">
    <w:name w:val="formattext"/>
    <w:basedOn w:val="Style_2_ch"/>
    <w:link w:val="Style_3"/>
    <w:rPr>
      <w:rFonts w:ascii="Times New Roman" w:hAnsi="Times New Roman"/>
      <w:sz w:val="24"/>
    </w:rPr>
  </w:style>
  <w:style w:styleId="Style_14" w:type="paragraph">
    <w:name w:val="Основной текст (2)1"/>
    <w:basedOn w:val="Style_2"/>
    <w:link w:val="Style_14_ch"/>
    <w:pPr>
      <w:widowControl w:val="0"/>
      <w:spacing w:after="60" w:before="60" w:line="293" w:lineRule="exact"/>
      <w:ind w:firstLine="0" w:left="0"/>
      <w:jc w:val="center"/>
    </w:pPr>
    <w:rPr>
      <w:rFonts w:ascii="Times New Roman" w:hAnsi="Times New Roman"/>
    </w:rPr>
  </w:style>
  <w:style w:styleId="Style_14_ch" w:type="character">
    <w:name w:val="Основной текст (2)1"/>
    <w:basedOn w:val="Style_2_ch"/>
    <w:link w:val="Style_14"/>
    <w:rPr>
      <w:rFonts w:ascii="Times New Roman" w:hAnsi="Times New Roman"/>
    </w:rPr>
  </w:style>
  <w:style w:styleId="Style_15" w:type="paragraph">
    <w:name w:val="Strong"/>
    <w:basedOn w:val="Style_16"/>
    <w:link w:val="Style_15_ch"/>
    <w:rPr>
      <w:b w:val="1"/>
    </w:rPr>
  </w:style>
  <w:style w:styleId="Style_15_ch" w:type="character">
    <w:name w:val="Strong"/>
    <w:basedOn w:val="Style_16_ch"/>
    <w:link w:val="Style_15"/>
    <w:rPr>
      <w:b w:val="1"/>
    </w:rPr>
  </w:style>
  <w:style w:styleId="Style_1" w:type="paragraph">
    <w:name w:val="header"/>
    <w:basedOn w:val="Style_2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2_ch"/>
    <w:link w:val="Style_1"/>
  </w:style>
  <w:style w:styleId="Style_17" w:type="paragraph">
    <w:name w:val="Normal (Web)"/>
    <w:basedOn w:val="Style_2"/>
    <w:link w:val="Style_17_ch"/>
    <w:pPr>
      <w:spacing w:afterAutospacing="on" w:beforeAutospacing="on"/>
      <w:ind w:firstLine="0" w:left="0"/>
      <w:jc w:val="left"/>
    </w:pPr>
    <w:rPr>
      <w:rFonts w:ascii="Times New Roman" w:hAnsi="Times New Roman"/>
      <w:sz w:val="24"/>
    </w:rPr>
  </w:style>
  <w:style w:styleId="Style_17_ch" w:type="character">
    <w:name w:val="Normal (Web)"/>
    <w:basedOn w:val="Style_2_ch"/>
    <w:link w:val="Style_17"/>
    <w:rPr>
      <w:rFonts w:ascii="Times New Roman" w:hAnsi="Times New Roman"/>
      <w:sz w:val="24"/>
    </w:rPr>
  </w:style>
  <w:style w:styleId="Style_18" w:type="paragraph">
    <w:name w:val="toc 3"/>
    <w:next w:val="Style_2"/>
    <w:link w:val="Style_1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8_ch" w:type="character">
    <w:name w:val="toc 3"/>
    <w:link w:val="Style_18"/>
    <w:rPr>
      <w:rFonts w:ascii="XO Thames" w:hAnsi="XO Thames"/>
      <w:sz w:val="28"/>
    </w:rPr>
  </w:style>
  <w:style w:styleId="Style_19" w:type="paragraph">
    <w:name w:val="Интернет-ссылка"/>
    <w:link w:val="Style_19_ch"/>
    <w:rPr>
      <w:color w:val="0000FF"/>
      <w:u w:val="single"/>
    </w:rPr>
  </w:style>
  <w:style w:styleId="Style_19_ch" w:type="character">
    <w:name w:val="Интернет-ссылка"/>
    <w:link w:val="Style_19"/>
    <w:rPr>
      <w:color w:val="0000FF"/>
      <w:u w:val="single"/>
    </w:rPr>
  </w:style>
  <w:style w:styleId="Style_4" w:type="paragraph">
    <w:name w:val="Default"/>
    <w:link w:val="Style_4_ch"/>
    <w:pPr>
      <w:ind w:firstLine="0" w:left="0"/>
      <w:jc w:val="left"/>
    </w:pPr>
    <w:rPr>
      <w:rFonts w:ascii="Times New Roman" w:hAnsi="Times New Roman"/>
      <w:color w:val="000000"/>
      <w:sz w:val="24"/>
    </w:rPr>
  </w:style>
  <w:style w:styleId="Style_4_ch" w:type="character">
    <w:name w:val="Default"/>
    <w:link w:val="Style_4"/>
    <w:rPr>
      <w:rFonts w:ascii="Times New Roman" w:hAnsi="Times New Roman"/>
      <w:color w:val="000000"/>
      <w:sz w:val="24"/>
    </w:rPr>
  </w:style>
  <w:style w:styleId="Style_13" w:type="paragraph">
    <w:name w:val="Обычный1"/>
    <w:link w:val="Style_13_ch"/>
    <w:pPr>
      <w:ind w:firstLine="0" w:left="0"/>
      <w:jc w:val="left"/>
    </w:pPr>
    <w:rPr>
      <w:rFonts w:ascii="Times New Roman" w:hAnsi="Times New Roman"/>
      <w:color w:val="000000"/>
      <w:sz w:val="20"/>
    </w:rPr>
  </w:style>
  <w:style w:styleId="Style_13_ch" w:type="character">
    <w:name w:val="Обычный1"/>
    <w:link w:val="Style_13"/>
    <w:rPr>
      <w:rFonts w:ascii="Times New Roman" w:hAnsi="Times New Roman"/>
      <w:color w:val="000000"/>
      <w:sz w:val="20"/>
    </w:rPr>
  </w:style>
  <w:style w:styleId="Style_20" w:type="paragraph">
    <w:name w:val="No Spacing"/>
    <w:link w:val="Style_20_ch"/>
    <w:pPr>
      <w:ind w:firstLine="0" w:left="0"/>
      <w:jc w:val="left"/>
    </w:pPr>
  </w:style>
  <w:style w:styleId="Style_20_ch" w:type="character">
    <w:name w:val="No Spacing"/>
    <w:link w:val="Style_20"/>
  </w:style>
  <w:style w:styleId="Style_21" w:type="paragraph">
    <w:name w:val="heading 5"/>
    <w:basedOn w:val="Style_13"/>
    <w:next w:val="Style_13"/>
    <w:link w:val="Style_21_ch"/>
    <w:uiPriority w:val="9"/>
    <w:qFormat/>
    <w:pPr>
      <w:keepNext w:val="1"/>
      <w:keepLines w:val="1"/>
      <w:spacing w:after="40" w:before="220"/>
      <w:ind/>
      <w:outlineLvl w:val="4"/>
    </w:pPr>
    <w:rPr>
      <w:b w:val="1"/>
      <w:sz w:val="22"/>
    </w:rPr>
  </w:style>
  <w:style w:styleId="Style_21_ch" w:type="character">
    <w:name w:val="heading 5"/>
    <w:basedOn w:val="Style_13_ch"/>
    <w:link w:val="Style_21"/>
    <w:rPr>
      <w:b w:val="1"/>
      <w:sz w:val="22"/>
    </w:rPr>
  </w:style>
  <w:style w:styleId="Style_22" w:type="paragraph">
    <w:name w:val="List Paragraph"/>
    <w:basedOn w:val="Style_2"/>
    <w:link w:val="Style_22_ch"/>
    <w:pPr>
      <w:spacing w:after="200" w:line="276" w:lineRule="auto"/>
      <w:ind w:firstLine="0" w:left="720"/>
      <w:contextualSpacing w:val="1"/>
      <w:jc w:val="left"/>
    </w:pPr>
    <w:rPr>
      <w:rFonts w:ascii="Calibri" w:hAnsi="Calibri"/>
    </w:rPr>
  </w:style>
  <w:style w:styleId="Style_22_ch" w:type="character">
    <w:name w:val="List Paragraph"/>
    <w:basedOn w:val="Style_2_ch"/>
    <w:link w:val="Style_22"/>
    <w:rPr>
      <w:rFonts w:ascii="Calibri" w:hAnsi="Calibri"/>
    </w:rPr>
  </w:style>
  <w:style w:styleId="Style_23" w:type="paragraph">
    <w:name w:val="heading 1"/>
    <w:basedOn w:val="Style_2"/>
    <w:next w:val="Style_2"/>
    <w:link w:val="Style_23_ch"/>
    <w:uiPriority w:val="9"/>
    <w:qFormat/>
    <w:pPr>
      <w:keepNext w:val="1"/>
      <w:spacing w:after="360" w:before="240"/>
      <w:ind w:firstLine="0" w:left="0"/>
      <w:jc w:val="center"/>
      <w:outlineLvl w:val="0"/>
    </w:pPr>
    <w:rPr>
      <w:rFonts w:ascii="Times New Roman" w:hAnsi="Times New Roman"/>
      <w:spacing w:val="104"/>
      <w:sz w:val="32"/>
    </w:rPr>
  </w:style>
  <w:style w:styleId="Style_23_ch" w:type="character">
    <w:name w:val="heading 1"/>
    <w:basedOn w:val="Style_2_ch"/>
    <w:link w:val="Style_23"/>
    <w:rPr>
      <w:rFonts w:ascii="Times New Roman" w:hAnsi="Times New Roman"/>
      <w:spacing w:val="104"/>
      <w:sz w:val="32"/>
    </w:rPr>
  </w:style>
  <w:style w:styleId="Style_24" w:type="paragraph">
    <w:name w:val="Hyperlink"/>
    <w:basedOn w:val="Style_16"/>
    <w:link w:val="Style_24_ch"/>
    <w:rPr>
      <w:color w:themeColor="hyperlink" w:val="0000FF"/>
      <w:u w:val="single"/>
    </w:rPr>
  </w:style>
  <w:style w:styleId="Style_24_ch" w:type="character">
    <w:name w:val="Hyperlink"/>
    <w:basedOn w:val="Style_16_ch"/>
    <w:link w:val="Style_24"/>
    <w:rPr>
      <w:color w:themeColor="hyperlink" w:val="0000FF"/>
      <w:u w:val="single"/>
    </w:rPr>
  </w:style>
  <w:style w:styleId="Style_25" w:type="paragraph">
    <w:name w:val="Footnote"/>
    <w:link w:val="Style_25_ch"/>
    <w:pPr>
      <w:ind w:firstLine="851" w:left="0"/>
      <w:jc w:val="both"/>
    </w:pPr>
    <w:rPr>
      <w:rFonts w:ascii="XO Thames" w:hAnsi="XO Thames"/>
      <w:sz w:val="22"/>
    </w:rPr>
  </w:style>
  <w:style w:styleId="Style_25_ch" w:type="character">
    <w:name w:val="Footnote"/>
    <w:link w:val="Style_25"/>
    <w:rPr>
      <w:rFonts w:ascii="XO Thames" w:hAnsi="XO Thames"/>
      <w:sz w:val="22"/>
    </w:rPr>
  </w:style>
  <w:style w:styleId="Style_26" w:type="paragraph">
    <w:name w:val="Balloon Text"/>
    <w:basedOn w:val="Style_2"/>
    <w:link w:val="Style_26_ch"/>
    <w:rPr>
      <w:rFonts w:ascii="Tahoma" w:hAnsi="Tahoma"/>
      <w:sz w:val="16"/>
    </w:rPr>
  </w:style>
  <w:style w:styleId="Style_26_ch" w:type="character">
    <w:name w:val="Balloon Text"/>
    <w:basedOn w:val="Style_2_ch"/>
    <w:link w:val="Style_26"/>
    <w:rPr>
      <w:rFonts w:ascii="Tahoma" w:hAnsi="Tahoma"/>
      <w:sz w:val="16"/>
    </w:rPr>
  </w:style>
  <w:style w:styleId="Style_27" w:type="paragraph">
    <w:name w:val="toc 1"/>
    <w:next w:val="Style_2"/>
    <w:link w:val="Style_2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7_ch" w:type="character">
    <w:name w:val="toc 1"/>
    <w:link w:val="Style_27"/>
    <w:rPr>
      <w:rFonts w:ascii="XO Thames" w:hAnsi="XO Thames"/>
      <w:b w:val="1"/>
      <w:sz w:val="28"/>
    </w:rPr>
  </w:style>
  <w:style w:styleId="Style_28" w:type="paragraph">
    <w:name w:val="Header and Footer"/>
    <w:link w:val="Style_28_ch"/>
    <w:pPr>
      <w:spacing w:line="240" w:lineRule="auto"/>
      <w:ind/>
      <w:jc w:val="both"/>
    </w:pPr>
    <w:rPr>
      <w:rFonts w:ascii="XO Thames" w:hAnsi="XO Thames"/>
      <w:sz w:val="28"/>
    </w:rPr>
  </w:style>
  <w:style w:styleId="Style_28_ch" w:type="character">
    <w:name w:val="Header and Footer"/>
    <w:link w:val="Style_28"/>
    <w:rPr>
      <w:rFonts w:ascii="XO Thames" w:hAnsi="XO Thames"/>
      <w:sz w:val="28"/>
    </w:rPr>
  </w:style>
  <w:style w:styleId="Style_29" w:type="paragraph">
    <w:name w:val="footer"/>
    <w:basedOn w:val="Style_2"/>
    <w:link w:val="Style_29_ch"/>
    <w:pPr>
      <w:tabs>
        <w:tab w:leader="none" w:pos="4677" w:val="center"/>
        <w:tab w:leader="none" w:pos="9355" w:val="right"/>
      </w:tabs>
      <w:ind/>
    </w:pPr>
  </w:style>
  <w:style w:styleId="Style_29_ch" w:type="character">
    <w:name w:val="footer"/>
    <w:basedOn w:val="Style_2_ch"/>
    <w:link w:val="Style_29"/>
  </w:style>
  <w:style w:styleId="Style_30" w:type="paragraph">
    <w:name w:val="toc 9"/>
    <w:next w:val="Style_2"/>
    <w:link w:val="Style_3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30_ch" w:type="character">
    <w:name w:val="toc 9"/>
    <w:link w:val="Style_30"/>
    <w:rPr>
      <w:rFonts w:ascii="XO Thames" w:hAnsi="XO Thames"/>
      <w:sz w:val="28"/>
    </w:rPr>
  </w:style>
  <w:style w:styleId="Style_31" w:type="paragraph">
    <w:name w:val="toc 8"/>
    <w:next w:val="Style_2"/>
    <w:link w:val="Style_3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1_ch" w:type="character">
    <w:name w:val="toc 8"/>
    <w:link w:val="Style_31"/>
    <w:rPr>
      <w:rFonts w:ascii="XO Thames" w:hAnsi="XO Thames"/>
      <w:sz w:val="28"/>
    </w:rPr>
  </w:style>
  <w:style w:styleId="Style_32" w:type="paragraph">
    <w:name w:val="ConsPlusNormal"/>
    <w:link w:val="Style_32_ch"/>
    <w:pPr>
      <w:widowControl w:val="0"/>
      <w:ind w:firstLine="0" w:left="0"/>
      <w:jc w:val="left"/>
    </w:pPr>
    <w:rPr>
      <w:rFonts w:ascii="Calibri" w:hAnsi="Calibri"/>
    </w:rPr>
  </w:style>
  <w:style w:styleId="Style_32_ch" w:type="character">
    <w:name w:val="ConsPlusNormal"/>
    <w:link w:val="Style_32"/>
    <w:rPr>
      <w:rFonts w:ascii="Calibri" w:hAnsi="Calibri"/>
    </w:rPr>
  </w:style>
  <w:style w:styleId="Style_33" w:type="paragraph">
    <w:name w:val="toc 5"/>
    <w:next w:val="Style_2"/>
    <w:link w:val="Style_33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3_ch" w:type="character">
    <w:name w:val="toc 5"/>
    <w:link w:val="Style_33"/>
    <w:rPr>
      <w:rFonts w:ascii="XO Thames" w:hAnsi="XO Thames"/>
      <w:sz w:val="28"/>
    </w:rPr>
  </w:style>
  <w:style w:styleId="Style_34" w:type="paragraph">
    <w:name w:val="Subtitle"/>
    <w:basedOn w:val="Style_13"/>
    <w:next w:val="Style_13"/>
    <w:link w:val="Style_34_ch"/>
    <w:uiPriority w:val="11"/>
    <w:qFormat/>
    <w:pPr>
      <w:keepNext w:val="1"/>
      <w:keepLines w:val="1"/>
      <w:spacing w:after="80" w:before="360"/>
      <w:ind/>
    </w:pPr>
    <w:rPr>
      <w:rFonts w:ascii="Georgia" w:hAnsi="Georgia"/>
      <w:i w:val="1"/>
      <w:color w:val="666666"/>
      <w:sz w:val="48"/>
    </w:rPr>
  </w:style>
  <w:style w:styleId="Style_34_ch" w:type="character">
    <w:name w:val="Subtitle"/>
    <w:basedOn w:val="Style_13_ch"/>
    <w:link w:val="Style_34"/>
    <w:rPr>
      <w:rFonts w:ascii="Georgia" w:hAnsi="Georgia"/>
      <w:i w:val="1"/>
      <w:color w:val="666666"/>
      <w:sz w:val="48"/>
    </w:rPr>
  </w:style>
  <w:style w:styleId="Style_35" w:type="paragraph">
    <w:name w:val="Title"/>
    <w:basedOn w:val="Style_13"/>
    <w:next w:val="Style_13"/>
    <w:link w:val="Style_35_ch"/>
    <w:uiPriority w:val="10"/>
    <w:qFormat/>
    <w:pPr>
      <w:keepNext w:val="1"/>
      <w:keepLines w:val="1"/>
      <w:spacing w:after="120" w:before="480"/>
      <w:ind/>
    </w:pPr>
    <w:rPr>
      <w:b w:val="1"/>
      <w:sz w:val="72"/>
    </w:rPr>
  </w:style>
  <w:style w:styleId="Style_35_ch" w:type="character">
    <w:name w:val="Title"/>
    <w:basedOn w:val="Style_13_ch"/>
    <w:link w:val="Style_35"/>
    <w:rPr>
      <w:b w:val="1"/>
      <w:sz w:val="72"/>
    </w:rPr>
  </w:style>
  <w:style w:styleId="Style_36" w:type="paragraph">
    <w:name w:val="heading 4"/>
    <w:basedOn w:val="Style_13"/>
    <w:next w:val="Style_13"/>
    <w:link w:val="Style_36_ch"/>
    <w:uiPriority w:val="9"/>
    <w:qFormat/>
    <w:pPr>
      <w:keepNext w:val="1"/>
      <w:ind/>
      <w:jc w:val="center"/>
      <w:outlineLvl w:val="3"/>
    </w:pPr>
    <w:rPr>
      <w:sz w:val="32"/>
    </w:rPr>
  </w:style>
  <w:style w:styleId="Style_36_ch" w:type="character">
    <w:name w:val="heading 4"/>
    <w:basedOn w:val="Style_13_ch"/>
    <w:link w:val="Style_36"/>
    <w:rPr>
      <w:sz w:val="32"/>
    </w:rPr>
  </w:style>
  <w:style w:styleId="Style_37" w:type="paragraph">
    <w:name w:val="heading 2"/>
    <w:basedOn w:val="Style_13"/>
    <w:next w:val="Style_13"/>
    <w:link w:val="Style_37_ch"/>
    <w:uiPriority w:val="9"/>
    <w:qFormat/>
    <w:pPr>
      <w:keepNext w:val="1"/>
      <w:ind/>
      <w:jc w:val="center"/>
      <w:outlineLvl w:val="1"/>
    </w:pPr>
    <w:rPr>
      <w:b w:val="1"/>
      <w:sz w:val="24"/>
    </w:rPr>
  </w:style>
  <w:style w:styleId="Style_37_ch" w:type="character">
    <w:name w:val="heading 2"/>
    <w:basedOn w:val="Style_13_ch"/>
    <w:link w:val="Style_37"/>
    <w:rPr>
      <w:b w:val="1"/>
      <w:sz w:val="24"/>
    </w:rPr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38" w:type="paragraph">
    <w:name w:val="heading 6"/>
    <w:basedOn w:val="Style_13"/>
    <w:next w:val="Style_13"/>
    <w:link w:val="Style_38_ch"/>
    <w:uiPriority w:val="9"/>
    <w:qFormat/>
    <w:pPr>
      <w:keepNext w:val="1"/>
      <w:keepLines w:val="1"/>
      <w:spacing w:after="40" w:before="200"/>
      <w:ind/>
      <w:outlineLvl w:val="5"/>
    </w:pPr>
    <w:rPr>
      <w:b w:val="1"/>
    </w:rPr>
  </w:style>
  <w:style w:styleId="Style_38_ch" w:type="character">
    <w:name w:val="heading 6"/>
    <w:basedOn w:val="Style_13_ch"/>
    <w:link w:val="Style_38"/>
    <w:rPr>
      <w:b w:val="1"/>
    </w:rPr>
  </w:style>
  <w:style w:styleId="Style_39" w:type="table">
    <w:name w:val="Сетка таблицы2"/>
    <w:basedOn w:val="Style_5"/>
    <w:pPr>
      <w:ind w:firstLine="0" w:left="0"/>
      <w:jc w:val="left"/>
    </w:pPr>
    <w:rPr>
      <w:rFonts w:ascii="Times New Roman" w:hAnsi="Times New Roman"/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0" w:type="table">
    <w:name w:val="Table Grid"/>
    <w:basedOn w:val="Style_5"/>
    <w:pPr>
      <w:ind w:firstLine="0" w:left="0"/>
      <w:jc w:val="left"/>
    </w:pPr>
    <w:rPr>
      <w:rFonts w:ascii="Times New Roman" w:hAnsi="Times New Roman"/>
      <w:color w:val="000000"/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41" w:type="table">
    <w:name w:val="Сетка таблицы1"/>
    <w:basedOn w:val="Style_5"/>
    <w:pPr>
      <w:ind w:firstLine="0" w:left="0"/>
      <w:jc w:val="left"/>
    </w:pPr>
    <w:rPr>
      <w:rFonts w:ascii="Times New Roman" w:hAnsi="Times New Roman"/>
      <w:color w:val="000000"/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42" w:type="table">
    <w:name w:val="Table Normal"/>
    <w:pPr>
      <w:ind w:firstLine="0" w:left="0"/>
      <w:jc w:val="left"/>
    </w:pPr>
    <w:rPr>
      <w:rFonts w:ascii="Times New Roman" w:hAnsi="Times New Roman"/>
      <w:color w:val="000000"/>
      <w:sz w:val="20"/>
    </w:rPr>
    <w:tblPr>
      <w:tblCellMar>
        <w:top w:type="dxa" w:w="0"/>
        <w:left w:type="dxa" w:w="0"/>
        <w:bottom w:type="dxa" w:w="0"/>
        <w:right w:type="dxa" w:w="0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2" Target="header2.xml" Type="http://schemas.openxmlformats.org/officeDocument/2006/relationships/header"/>
  <Relationship Id="rId3" Target="media/1.png" Type="http://schemas.openxmlformats.org/officeDocument/2006/relationships/image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2025-12-24T03:57:40Z</dcterms:modified>
</cp:coreProperties>
</file>